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4B9D2" w14:textId="77777777" w:rsidR="00CD49EA" w:rsidRPr="00A35ADB" w:rsidRDefault="00CD49EA" w:rsidP="00A35ADB">
      <w:pPr>
        <w:ind w:firstLine="0"/>
        <w:jc w:val="center"/>
        <w:rPr>
          <w:rFonts w:ascii="Times New Roman" w:hAnsi="Times New Roman" w:cs="Times New Roman"/>
          <w:sz w:val="24"/>
          <w:szCs w:val="24"/>
        </w:rPr>
      </w:pPr>
    </w:p>
    <w:p w14:paraId="1D79A567" w14:textId="77777777" w:rsidR="00CD244C" w:rsidRPr="00A35ADB" w:rsidRDefault="00CD244C" w:rsidP="00A35ADB">
      <w:pPr>
        <w:ind w:firstLine="0"/>
        <w:jc w:val="center"/>
        <w:rPr>
          <w:rFonts w:ascii="Times New Roman" w:hAnsi="Times New Roman" w:cs="Times New Roman"/>
          <w:sz w:val="24"/>
          <w:szCs w:val="24"/>
        </w:rPr>
      </w:pPr>
    </w:p>
    <w:p w14:paraId="5ECB1A7C" w14:textId="77777777" w:rsidR="0036152F" w:rsidRPr="00A35ADB" w:rsidRDefault="0036152F" w:rsidP="00A35ADB">
      <w:pPr>
        <w:ind w:firstLine="0"/>
        <w:jc w:val="center"/>
        <w:rPr>
          <w:rFonts w:ascii="Times New Roman" w:hAnsi="Times New Roman" w:cs="Times New Roman"/>
          <w:sz w:val="24"/>
          <w:szCs w:val="24"/>
        </w:rPr>
      </w:pPr>
    </w:p>
    <w:p w14:paraId="30C3FE7C" w14:textId="77777777" w:rsidR="0036152F" w:rsidRPr="00A35ADB" w:rsidRDefault="00F00AC2" w:rsidP="00A35ADB">
      <w:pPr>
        <w:tabs>
          <w:tab w:val="left" w:pos="3952"/>
        </w:tabs>
        <w:ind w:firstLine="0"/>
        <w:rPr>
          <w:rFonts w:ascii="Times New Roman" w:hAnsi="Times New Roman" w:cs="Times New Roman"/>
          <w:sz w:val="24"/>
          <w:szCs w:val="24"/>
        </w:rPr>
      </w:pPr>
      <w:r w:rsidRPr="00A35ADB">
        <w:rPr>
          <w:rFonts w:ascii="Times New Roman" w:hAnsi="Times New Roman" w:cs="Times New Roman"/>
          <w:sz w:val="24"/>
          <w:szCs w:val="24"/>
        </w:rPr>
        <w:tab/>
      </w:r>
    </w:p>
    <w:p w14:paraId="6A06A30D" w14:textId="77777777" w:rsidR="0036152F" w:rsidRPr="00A35ADB" w:rsidRDefault="0036152F" w:rsidP="00A35ADB">
      <w:pPr>
        <w:ind w:firstLine="0"/>
        <w:jc w:val="center"/>
        <w:rPr>
          <w:rFonts w:ascii="Times New Roman" w:hAnsi="Times New Roman" w:cs="Times New Roman"/>
          <w:sz w:val="24"/>
          <w:szCs w:val="24"/>
        </w:rPr>
      </w:pPr>
    </w:p>
    <w:p w14:paraId="1BAA18EB" w14:textId="77777777" w:rsidR="0078133F" w:rsidRPr="00A35ADB" w:rsidRDefault="0078133F" w:rsidP="00A35ADB">
      <w:pPr>
        <w:ind w:firstLine="0"/>
        <w:jc w:val="center"/>
        <w:rPr>
          <w:rFonts w:ascii="Times New Roman" w:hAnsi="Times New Roman" w:cs="Times New Roman"/>
          <w:sz w:val="24"/>
          <w:szCs w:val="24"/>
        </w:rPr>
      </w:pPr>
    </w:p>
    <w:p w14:paraId="678AB820" w14:textId="77777777" w:rsidR="0078133F" w:rsidRPr="00A35ADB" w:rsidRDefault="0078133F" w:rsidP="00A35ADB">
      <w:pPr>
        <w:ind w:firstLine="0"/>
        <w:jc w:val="center"/>
        <w:rPr>
          <w:rFonts w:ascii="Times New Roman" w:hAnsi="Times New Roman" w:cs="Times New Roman"/>
          <w:sz w:val="24"/>
          <w:szCs w:val="24"/>
        </w:rPr>
      </w:pPr>
    </w:p>
    <w:p w14:paraId="4FC68BC6" w14:textId="77777777" w:rsidR="0036152F" w:rsidRPr="00A35ADB" w:rsidRDefault="0036152F" w:rsidP="00A35ADB">
      <w:pPr>
        <w:ind w:firstLine="0"/>
        <w:jc w:val="center"/>
        <w:rPr>
          <w:rFonts w:ascii="Times New Roman" w:hAnsi="Times New Roman" w:cs="Times New Roman"/>
          <w:sz w:val="24"/>
          <w:szCs w:val="24"/>
        </w:rPr>
      </w:pPr>
    </w:p>
    <w:p w14:paraId="0EED1734" w14:textId="77777777" w:rsidR="00A35ADB" w:rsidRPr="00A35ADB" w:rsidRDefault="00F00AC2"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Annotated Bibliography </w:t>
      </w:r>
    </w:p>
    <w:p w14:paraId="389FEB6D" w14:textId="77777777" w:rsidR="00BC79B6" w:rsidRPr="00A35ADB" w:rsidRDefault="00F00AC2"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Author Name </w:t>
      </w:r>
    </w:p>
    <w:p w14:paraId="6A177DA7" w14:textId="77777777" w:rsidR="00BC79B6" w:rsidRPr="00A35ADB" w:rsidRDefault="00F00AC2"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Institutional Affiliation </w:t>
      </w:r>
    </w:p>
    <w:p w14:paraId="223C4D55" w14:textId="77777777" w:rsidR="00CD244C" w:rsidRPr="00A35ADB" w:rsidRDefault="00CD244C" w:rsidP="00A35ADB">
      <w:pPr>
        <w:jc w:val="center"/>
        <w:rPr>
          <w:rFonts w:ascii="Times New Roman" w:hAnsi="Times New Roman" w:cs="Times New Roman"/>
          <w:sz w:val="24"/>
          <w:szCs w:val="24"/>
        </w:rPr>
      </w:pPr>
    </w:p>
    <w:p w14:paraId="7E6F6B4D" w14:textId="77777777" w:rsidR="0078133F" w:rsidRPr="00A35ADB" w:rsidRDefault="0078133F" w:rsidP="00A35ADB">
      <w:pPr>
        <w:jc w:val="center"/>
        <w:rPr>
          <w:rFonts w:ascii="Times New Roman" w:hAnsi="Times New Roman" w:cs="Times New Roman"/>
          <w:sz w:val="24"/>
          <w:szCs w:val="24"/>
        </w:rPr>
      </w:pPr>
    </w:p>
    <w:p w14:paraId="1374565F" w14:textId="77777777" w:rsidR="0078133F" w:rsidRPr="00A35ADB" w:rsidRDefault="0078133F" w:rsidP="00A35ADB">
      <w:pPr>
        <w:jc w:val="center"/>
        <w:rPr>
          <w:rFonts w:ascii="Times New Roman" w:hAnsi="Times New Roman" w:cs="Times New Roman"/>
          <w:sz w:val="24"/>
          <w:szCs w:val="24"/>
        </w:rPr>
      </w:pPr>
    </w:p>
    <w:p w14:paraId="7122357A" w14:textId="77777777" w:rsidR="0078133F" w:rsidRPr="00A35ADB" w:rsidRDefault="0078133F" w:rsidP="00A35ADB">
      <w:pPr>
        <w:jc w:val="center"/>
        <w:rPr>
          <w:rFonts w:ascii="Times New Roman" w:hAnsi="Times New Roman" w:cs="Times New Roman"/>
          <w:sz w:val="24"/>
          <w:szCs w:val="24"/>
        </w:rPr>
      </w:pPr>
    </w:p>
    <w:p w14:paraId="486A87A6" w14:textId="77777777" w:rsidR="0078133F" w:rsidRPr="00A35ADB" w:rsidRDefault="0078133F" w:rsidP="00A35ADB">
      <w:pPr>
        <w:jc w:val="center"/>
        <w:rPr>
          <w:rFonts w:ascii="Times New Roman" w:hAnsi="Times New Roman" w:cs="Times New Roman"/>
          <w:sz w:val="24"/>
          <w:szCs w:val="24"/>
        </w:rPr>
      </w:pPr>
    </w:p>
    <w:p w14:paraId="39E2CEBC" w14:textId="77777777" w:rsidR="0078133F" w:rsidRPr="00A35ADB" w:rsidRDefault="0078133F" w:rsidP="00A35ADB">
      <w:pPr>
        <w:jc w:val="center"/>
        <w:rPr>
          <w:rFonts w:ascii="Times New Roman" w:hAnsi="Times New Roman" w:cs="Times New Roman"/>
          <w:sz w:val="24"/>
          <w:szCs w:val="24"/>
        </w:rPr>
      </w:pPr>
    </w:p>
    <w:p w14:paraId="4D21DD8F" w14:textId="77777777" w:rsidR="0078133F" w:rsidRPr="00A35ADB" w:rsidRDefault="0078133F" w:rsidP="00A35ADB">
      <w:pPr>
        <w:jc w:val="center"/>
        <w:rPr>
          <w:rFonts w:ascii="Times New Roman" w:hAnsi="Times New Roman" w:cs="Times New Roman"/>
          <w:sz w:val="24"/>
          <w:szCs w:val="24"/>
        </w:rPr>
      </w:pPr>
    </w:p>
    <w:p w14:paraId="273D99EE" w14:textId="77777777" w:rsidR="0078133F" w:rsidRPr="00A35ADB" w:rsidRDefault="0078133F" w:rsidP="00A35ADB">
      <w:pPr>
        <w:jc w:val="center"/>
        <w:rPr>
          <w:rFonts w:ascii="Times New Roman" w:hAnsi="Times New Roman" w:cs="Times New Roman"/>
          <w:sz w:val="24"/>
          <w:szCs w:val="24"/>
        </w:rPr>
      </w:pPr>
    </w:p>
    <w:p w14:paraId="01471748" w14:textId="77777777" w:rsidR="0078133F" w:rsidRPr="00A35ADB" w:rsidRDefault="0078133F" w:rsidP="00A35ADB">
      <w:pPr>
        <w:jc w:val="center"/>
        <w:rPr>
          <w:rFonts w:ascii="Times New Roman" w:hAnsi="Times New Roman" w:cs="Times New Roman"/>
          <w:sz w:val="24"/>
          <w:szCs w:val="24"/>
        </w:rPr>
      </w:pPr>
    </w:p>
    <w:p w14:paraId="1F54D423" w14:textId="77777777" w:rsidR="0078133F" w:rsidRPr="00A35ADB" w:rsidRDefault="0078133F" w:rsidP="00A35ADB">
      <w:pPr>
        <w:jc w:val="center"/>
        <w:rPr>
          <w:rFonts w:ascii="Times New Roman" w:hAnsi="Times New Roman" w:cs="Times New Roman"/>
          <w:sz w:val="24"/>
          <w:szCs w:val="24"/>
        </w:rPr>
      </w:pPr>
    </w:p>
    <w:p w14:paraId="145B184A" w14:textId="77777777" w:rsidR="0078133F" w:rsidRPr="00A35ADB" w:rsidRDefault="0078133F" w:rsidP="00A35ADB">
      <w:pPr>
        <w:jc w:val="center"/>
        <w:rPr>
          <w:rFonts w:ascii="Times New Roman" w:hAnsi="Times New Roman" w:cs="Times New Roman"/>
          <w:sz w:val="24"/>
          <w:szCs w:val="24"/>
        </w:rPr>
      </w:pPr>
    </w:p>
    <w:p w14:paraId="05BF7822" w14:textId="77777777" w:rsidR="00201245" w:rsidRPr="00A35ADB" w:rsidRDefault="00201245" w:rsidP="00A35ADB">
      <w:pPr>
        <w:rPr>
          <w:rFonts w:ascii="Times New Roman" w:hAnsi="Times New Roman" w:cs="Times New Roman"/>
          <w:sz w:val="24"/>
          <w:szCs w:val="24"/>
        </w:rPr>
      </w:pPr>
    </w:p>
    <w:p w14:paraId="1D7076C0" w14:textId="095C2442" w:rsidR="007A5856" w:rsidRDefault="00F00AC2" w:rsidP="001979EB">
      <w:pPr>
        <w:ind w:left="720"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Theses Statement</w:t>
      </w:r>
    </w:p>
    <w:p w14:paraId="6387AF95" w14:textId="27B18754" w:rsidR="00AD2B11" w:rsidRDefault="00C459DB" w:rsidP="00C459DB">
      <w:pPr>
        <w:rPr>
          <w:rFonts w:ascii="Times New Roman" w:hAnsi="Times New Roman" w:cs="Times New Roman"/>
          <w:bCs/>
          <w:sz w:val="24"/>
          <w:szCs w:val="24"/>
        </w:rPr>
      </w:pPr>
      <w:r>
        <w:rPr>
          <w:rFonts w:ascii="Times New Roman" w:hAnsi="Times New Roman" w:cs="Times New Roman"/>
          <w:bCs/>
          <w:sz w:val="24"/>
          <w:szCs w:val="24"/>
        </w:rPr>
        <w:t xml:space="preserve">Teachers are on the frontline in ensuring that students think critically. Teachers should, therefore, teach students how to think and not what to believe as our current educational system focuses on teaching other subjects. Teachers should use various strategies to ensure that their students learn critical thinking skills. Challenges exist for teachers as they try to teach students on how to think. It’s important that various policies should be adopted to help teachers equip their students with critical thinking skills. The main points addressed in this paper </w:t>
      </w:r>
      <w:r>
        <w:rPr>
          <w:rFonts w:ascii="Times New Roman" w:hAnsi="Times New Roman" w:cs="Times New Roman"/>
          <w:bCs/>
          <w:sz w:val="24"/>
          <w:szCs w:val="24"/>
        </w:rPr>
        <w:t xml:space="preserve">includes </w:t>
      </w:r>
      <w:r>
        <w:rPr>
          <w:rFonts w:ascii="Times New Roman" w:hAnsi="Times New Roman" w:cs="Times New Roman"/>
          <w:bCs/>
          <w:sz w:val="24"/>
          <w:szCs w:val="24"/>
        </w:rPr>
        <w:t>critical thinking approaches and strategies as well as challenges faced by teachers when teaching students to how to think but not what to think.</w:t>
      </w:r>
    </w:p>
    <w:p w14:paraId="6925F21C" w14:textId="0A89CCEF" w:rsidR="006442EB" w:rsidRPr="00C136BF" w:rsidRDefault="00C136BF" w:rsidP="00AD2B11">
      <w:pPr>
        <w:ind w:firstLine="0"/>
        <w:rPr>
          <w:rFonts w:ascii="Times New Roman" w:hAnsi="Times New Roman" w:cs="Times New Roman"/>
          <w:bCs/>
          <w:sz w:val="24"/>
          <w:szCs w:val="24"/>
        </w:rPr>
      </w:pPr>
      <w:r w:rsidRPr="006442EB">
        <w:rPr>
          <w:rFonts w:ascii="Times New Roman" w:hAnsi="Times New Roman" w:cs="Times New Roman"/>
          <w:b/>
        </w:rPr>
        <w:t>Annotated bibliography: Teaching</w:t>
      </w:r>
      <w:r w:rsidR="006442EB" w:rsidRPr="006442EB">
        <w:rPr>
          <w:rFonts w:ascii="Times New Roman" w:hAnsi="Times New Roman" w:cs="Times New Roman"/>
          <w:b/>
        </w:rPr>
        <w:t xml:space="preserve"> Students "How to Think" Rather Than "What to Think."</w:t>
      </w:r>
    </w:p>
    <w:p w14:paraId="0CF32D98" w14:textId="77777777" w:rsidR="00C136BF" w:rsidRDefault="00C136BF" w:rsidP="000474DD">
      <w:pPr>
        <w:ind w:hanging="480"/>
        <w:rPr>
          <w:rFonts w:ascii="Times New Roman" w:eastAsia="Times New Roman" w:hAnsi="Times New Roman" w:cs="Times New Roman"/>
          <w:b/>
          <w:sz w:val="24"/>
          <w:szCs w:val="24"/>
        </w:rPr>
      </w:pPr>
    </w:p>
    <w:p w14:paraId="188FF7FF" w14:textId="375D2F7A" w:rsidR="000474DD" w:rsidRPr="007A5856" w:rsidRDefault="000474DD" w:rsidP="000474DD">
      <w:pPr>
        <w:ind w:hanging="480"/>
        <w:rPr>
          <w:rFonts w:ascii="Times New Roman" w:eastAsia="Times New Roman" w:hAnsi="Times New Roman" w:cs="Times New Roman"/>
          <w:b/>
          <w:sz w:val="24"/>
          <w:szCs w:val="24"/>
        </w:rPr>
      </w:pPr>
      <w:r w:rsidRPr="00B921FA">
        <w:rPr>
          <w:rFonts w:ascii="Times New Roman" w:eastAsia="Times New Roman" w:hAnsi="Times New Roman" w:cs="Times New Roman"/>
          <w:b/>
          <w:sz w:val="24"/>
          <w:szCs w:val="24"/>
        </w:rPr>
        <w:t xml:space="preserve">Abrami, P. C., Bernard, R. M., Borokhovski, E., Waddington, D. I., Wade, C. A., &amp; Persson, T. (2015). Strategies for teaching students to think critically: A meta-analysis. </w:t>
      </w:r>
      <w:r w:rsidRPr="00B921FA">
        <w:rPr>
          <w:rFonts w:ascii="Times New Roman" w:eastAsia="Times New Roman" w:hAnsi="Times New Roman" w:cs="Times New Roman"/>
          <w:b/>
          <w:i/>
          <w:iCs/>
          <w:sz w:val="24"/>
          <w:szCs w:val="24"/>
        </w:rPr>
        <w:t>Review of Educational Research</w:t>
      </w:r>
      <w:r w:rsidRPr="00B921FA">
        <w:rPr>
          <w:rFonts w:ascii="Times New Roman" w:eastAsia="Times New Roman" w:hAnsi="Times New Roman" w:cs="Times New Roman"/>
          <w:b/>
          <w:sz w:val="24"/>
          <w:szCs w:val="24"/>
        </w:rPr>
        <w:t xml:space="preserve">, </w:t>
      </w:r>
      <w:r w:rsidRPr="00B921FA">
        <w:rPr>
          <w:rFonts w:ascii="Times New Roman" w:eastAsia="Times New Roman" w:hAnsi="Times New Roman" w:cs="Times New Roman"/>
          <w:b/>
          <w:i/>
          <w:iCs/>
          <w:sz w:val="24"/>
          <w:szCs w:val="24"/>
        </w:rPr>
        <w:t>85</w:t>
      </w:r>
      <w:r w:rsidRPr="00B921FA">
        <w:rPr>
          <w:rFonts w:ascii="Times New Roman" w:eastAsia="Times New Roman" w:hAnsi="Times New Roman" w:cs="Times New Roman"/>
          <w:b/>
          <w:sz w:val="24"/>
          <w:szCs w:val="24"/>
        </w:rPr>
        <w:t>(2), 275–314.</w:t>
      </w:r>
    </w:p>
    <w:p w14:paraId="19381BD2" w14:textId="45C743DC" w:rsidR="000474DD" w:rsidRDefault="000474DD" w:rsidP="000474DD">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of this article </w:t>
      </w:r>
      <w:r w:rsidR="00772A0E">
        <w:rPr>
          <w:rFonts w:ascii="Times New Roman" w:eastAsia="Times New Roman" w:hAnsi="Times New Roman" w:cs="Times New Roman"/>
          <w:sz w:val="24"/>
          <w:szCs w:val="24"/>
        </w:rPr>
        <w:t>give</w:t>
      </w:r>
      <w:r>
        <w:rPr>
          <w:rFonts w:ascii="Times New Roman" w:eastAsia="Times New Roman" w:hAnsi="Times New Roman" w:cs="Times New Roman"/>
          <w:sz w:val="24"/>
          <w:szCs w:val="24"/>
        </w:rPr>
        <w:t xml:space="preserve"> a summary of the results from analysis of different articles. The authors focus on letting the reader understand the impact of educators in giving instructions to students on the development and enhancement of critical thinking skills. Teachers teach students on how to think by offering instruction to the students in which they are supposed to think. In this context students develop skills of how to think. In their findings from meta-analysis, results of some articles did not indicate how critical thinking can be taught or the interventions to be put in place to facilitate critical thinking. This article is relevant to the topic as it provides an analysis of different articles on strategies that educators can use to help students think critically. The authors of th</w:t>
      </w:r>
      <w:r w:rsidR="009D58C8">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article are researchers involved in writing different research articles and therefore they are credible.</w:t>
      </w:r>
    </w:p>
    <w:p w14:paraId="169311B8" w14:textId="35B1869B" w:rsidR="00EF7535" w:rsidRPr="00A35ADB" w:rsidRDefault="00EF7535" w:rsidP="00085889">
      <w:pPr>
        <w:ind w:firstLine="0"/>
        <w:rPr>
          <w:rFonts w:ascii="Times New Roman" w:hAnsi="Times New Roman" w:cs="Times New Roman"/>
          <w:b/>
          <w:bCs/>
          <w:color w:val="222222"/>
          <w:sz w:val="24"/>
          <w:szCs w:val="24"/>
          <w:shd w:val="clear" w:color="auto" w:fill="FFFFFF"/>
        </w:rPr>
      </w:pPr>
      <w:r w:rsidRPr="00A35ADB">
        <w:rPr>
          <w:rFonts w:ascii="Times New Roman" w:hAnsi="Times New Roman" w:cs="Times New Roman"/>
          <w:b/>
          <w:bCs/>
          <w:color w:val="222222"/>
          <w:sz w:val="24"/>
          <w:szCs w:val="24"/>
          <w:shd w:val="clear" w:color="auto" w:fill="FFFFFF"/>
        </w:rPr>
        <w:lastRenderedPageBreak/>
        <w:t>Barzilai, S., &amp; Zohar, A. (2016). Epistemic (</w:t>
      </w:r>
      <w:r w:rsidR="005F7CB6" w:rsidRPr="00A35ADB">
        <w:rPr>
          <w:rFonts w:ascii="Times New Roman" w:hAnsi="Times New Roman" w:cs="Times New Roman"/>
          <w:b/>
          <w:bCs/>
          <w:color w:val="222222"/>
          <w:sz w:val="24"/>
          <w:szCs w:val="24"/>
          <w:shd w:val="clear" w:color="auto" w:fill="FFFFFF"/>
        </w:rPr>
        <w:t>Meta</w:t>
      </w:r>
      <w:r w:rsidRPr="00A35ADB">
        <w:rPr>
          <w:rFonts w:ascii="Times New Roman" w:hAnsi="Times New Roman" w:cs="Times New Roman"/>
          <w:b/>
          <w:bCs/>
          <w:color w:val="222222"/>
          <w:sz w:val="24"/>
          <w:szCs w:val="24"/>
          <w:shd w:val="clear" w:color="auto" w:fill="FFFFFF"/>
        </w:rPr>
        <w:t>) cognition: Ways of thinking about knowledge and knowing. </w:t>
      </w:r>
      <w:r w:rsidRPr="00A35ADB">
        <w:rPr>
          <w:rFonts w:ascii="Times New Roman" w:hAnsi="Times New Roman" w:cs="Times New Roman"/>
          <w:b/>
          <w:bCs/>
          <w:i/>
          <w:iCs/>
          <w:color w:val="222222"/>
          <w:sz w:val="24"/>
          <w:szCs w:val="24"/>
          <w:shd w:val="clear" w:color="auto" w:fill="FFFFFF"/>
        </w:rPr>
        <w:t>Handbook of epistemic cognition</w:t>
      </w:r>
      <w:r w:rsidRPr="00A35ADB">
        <w:rPr>
          <w:rFonts w:ascii="Times New Roman" w:hAnsi="Times New Roman" w:cs="Times New Roman"/>
          <w:b/>
          <w:bCs/>
          <w:color w:val="222222"/>
          <w:sz w:val="24"/>
          <w:szCs w:val="24"/>
          <w:shd w:val="clear" w:color="auto" w:fill="FFFFFF"/>
        </w:rPr>
        <w:t xml:space="preserve">, 409-424. </w:t>
      </w:r>
      <w:hyperlink r:id="rId7" w:history="1">
        <w:r w:rsidRPr="00A35ADB">
          <w:rPr>
            <w:rStyle w:val="Hyperlink"/>
            <w:rFonts w:ascii="Times New Roman" w:hAnsi="Times New Roman" w:cs="Times New Roman"/>
            <w:sz w:val="24"/>
            <w:szCs w:val="24"/>
          </w:rPr>
          <w:t>https://www.researchgate.net/publication/294088485_Epistemic_Metacognition_Ways_of_Thinking_About_Knowledge_and_Knowing</w:t>
        </w:r>
      </w:hyperlink>
      <w:r w:rsidRPr="00A35ADB">
        <w:rPr>
          <w:rFonts w:ascii="Times New Roman" w:hAnsi="Times New Roman" w:cs="Times New Roman"/>
          <w:sz w:val="24"/>
          <w:szCs w:val="24"/>
        </w:rPr>
        <w:t xml:space="preserve"> </w:t>
      </w:r>
    </w:p>
    <w:p w14:paraId="22E9E286" w14:textId="3D283912" w:rsidR="006442EB" w:rsidRPr="00085889" w:rsidRDefault="00EF7535" w:rsidP="00085889">
      <w:pPr>
        <w:rPr>
          <w:rFonts w:ascii="Times New Roman" w:hAnsi="Times New Roman" w:cs="Times New Roman"/>
          <w:color w:val="222222"/>
          <w:sz w:val="24"/>
          <w:szCs w:val="24"/>
          <w:shd w:val="clear" w:color="auto" w:fill="FFFFFF"/>
        </w:rPr>
      </w:pPr>
      <w:r w:rsidRPr="00A35ADB">
        <w:rPr>
          <w:rFonts w:ascii="Times New Roman" w:hAnsi="Times New Roman" w:cs="Times New Roman"/>
          <w:color w:val="222222"/>
          <w:sz w:val="24"/>
          <w:szCs w:val="24"/>
          <w:shd w:val="clear" w:color="auto" w:fill="FFFFFF"/>
        </w:rPr>
        <w:t>The article discusses epistemic cognition with significant focus on ways that can be used to think about knowledge. In this article, the authors are seeking to understand how people feel in regard to knowledge, truth as well as justification. The purpose of this research is to show the important of understanding how people in the society think. The authors have addressed resources and strategies that can be used by people in dealing with epistemic thinking and its associated challenges. This source is relevant to the topic as it can be used to explain how teachers can embrace epistemic thinking and teach it to learners by constructing the knowledge itself, teach truth to students and offer a justification. Teachers can use cognitive-level epistemic methods to teach students on how they can construct their own concepts and knowledge and justify the truth behind their facts.  Teachers can also apply this strategy to examine whether there is successful progression by students in understanding how to think. Here teachers are required to plan, monitor and evaluate effectiveness of the strategy by examining student's knowledge and abilities to think by examining them. The author; Sarit Barzilai is an expert writer in the university of Haifa and thus based on the facts provided in this source, it is valid and reliable for the research.</w:t>
      </w:r>
    </w:p>
    <w:p w14:paraId="5065E3B8" w14:textId="77777777" w:rsidR="00A35ADB" w:rsidRPr="00A35ADB" w:rsidRDefault="00F00AC2" w:rsidP="00085889">
      <w:pPr>
        <w:ind w:firstLine="0"/>
        <w:rPr>
          <w:rFonts w:ascii="Times New Roman" w:hAnsi="Times New Roman" w:cs="Times New Roman"/>
          <w:b/>
          <w:bCs/>
          <w:sz w:val="24"/>
          <w:szCs w:val="24"/>
        </w:rPr>
      </w:pPr>
      <w:r w:rsidRPr="00A35ADB">
        <w:rPr>
          <w:rFonts w:ascii="Times New Roman" w:hAnsi="Times New Roman" w:cs="Times New Roman"/>
          <w:b/>
          <w:bCs/>
          <w:sz w:val="24"/>
          <w:szCs w:val="24"/>
        </w:rPr>
        <w:t>Darling-Hammond, L., Austin, K., Lit, I., &amp; Martin, D. (2014). Session 8 Watch It, Do It, Know It: Cognitive Apprenticeship.</w:t>
      </w:r>
    </w:p>
    <w:p w14:paraId="2F65F762" w14:textId="2F29E992" w:rsidR="00A35ADB" w:rsidRDefault="00F00AC2" w:rsidP="00085889">
      <w:pPr>
        <w:rPr>
          <w:rFonts w:ascii="Times New Roman" w:hAnsi="Times New Roman" w:cs="Times New Roman"/>
          <w:sz w:val="24"/>
          <w:szCs w:val="24"/>
        </w:rPr>
      </w:pPr>
      <w:r w:rsidRPr="00A35ADB">
        <w:rPr>
          <w:rFonts w:ascii="Times New Roman" w:hAnsi="Times New Roman" w:cs="Times New Roman"/>
          <w:sz w:val="24"/>
          <w:szCs w:val="24"/>
        </w:rPr>
        <w:t xml:space="preserve">The main argument addressed in this article the application of cognitive apprenticeship by answering the questions of how teachers can help the student to think strategically and </w:t>
      </w:r>
      <w:r w:rsidRPr="00A35ADB">
        <w:rPr>
          <w:rFonts w:ascii="Times New Roman" w:hAnsi="Times New Roman" w:cs="Times New Roman"/>
          <w:sz w:val="24"/>
          <w:szCs w:val="24"/>
        </w:rPr>
        <w:lastRenderedPageBreak/>
        <w:t>making thinking visible while making learning more potent to the students. The creation of a cognitive apprenticeship, as argued in this article, allows instructors and learners to demonstrate and share their knowledge. In this setting, the goal of teachers is to guide students in taking gradually different forms of detailed reasoning as well as performance through observation, which occurs under guided practice. This source is relevant to the research topic as it offers strategies that teachers can use in helping students know how to think rather than not what to think. The three systems are modeling, coaching, and scaffolding. Through modeling, apprentices (students) observe and master what is being taught and then engage in learning. The scaffolding strategy involves set support strategies, including learning steps for handling specific problems and creating concepts. It can also be used in carrying out self-assessment by students where students can reveal their progress. Teachers need to use coaching in the classroom by meeting students and asks questions and give partial answers, observe, while at the same time keeping the needs of learners. Besides, hints may be provided and evaluate activities offered to students to help them develop skills and understanding of the concept</w:t>
      </w:r>
      <w:r w:rsidR="00AD2B11">
        <w:rPr>
          <w:rFonts w:ascii="Times New Roman" w:hAnsi="Times New Roman" w:cs="Times New Roman"/>
          <w:sz w:val="24"/>
          <w:szCs w:val="24"/>
        </w:rPr>
        <w:t xml:space="preserve"> </w:t>
      </w:r>
      <w:r w:rsidR="00AD2B11" w:rsidRPr="00A35ADB">
        <w:rPr>
          <w:rFonts w:ascii="Times New Roman" w:hAnsi="Times New Roman" w:cs="Times New Roman"/>
          <w:sz w:val="24"/>
          <w:szCs w:val="24"/>
        </w:rPr>
        <w:t>The source has been written by</w:t>
      </w:r>
      <w:r w:rsidR="00F0340A">
        <w:rPr>
          <w:rFonts w:ascii="Times New Roman" w:hAnsi="Times New Roman" w:cs="Times New Roman"/>
          <w:sz w:val="24"/>
          <w:szCs w:val="24"/>
        </w:rPr>
        <w:t xml:space="preserve"> </w:t>
      </w:r>
      <w:r w:rsidR="00AD2B11">
        <w:rPr>
          <w:rFonts w:ascii="Times New Roman" w:hAnsi="Times New Roman" w:cs="Times New Roman"/>
          <w:sz w:val="24"/>
          <w:szCs w:val="24"/>
        </w:rPr>
        <w:t>(</w:t>
      </w:r>
      <w:r w:rsidR="00AD2B11" w:rsidRPr="00AD2B11">
        <w:rPr>
          <w:rFonts w:ascii="Times New Roman" w:hAnsi="Times New Roman" w:cs="Times New Roman"/>
          <w:i/>
          <w:iCs/>
          <w:sz w:val="24"/>
          <w:szCs w:val="24"/>
        </w:rPr>
        <w:t xml:space="preserve">Darling-Hammond, Kim Austin, Ira Lit, and Daisy, the experts from </w:t>
      </w:r>
      <w:proofErr w:type="spellStart"/>
      <w:r w:rsidR="00AD2B11" w:rsidRPr="00AD2B11">
        <w:rPr>
          <w:rFonts w:ascii="Times New Roman" w:hAnsi="Times New Roman" w:cs="Times New Roman"/>
          <w:i/>
          <w:iCs/>
          <w:sz w:val="24"/>
          <w:szCs w:val="24"/>
        </w:rPr>
        <w:t>From</w:t>
      </w:r>
      <w:proofErr w:type="spellEnd"/>
      <w:r w:rsidR="00AD2B11" w:rsidRPr="00AD2B11">
        <w:rPr>
          <w:rFonts w:ascii="Times New Roman" w:hAnsi="Times New Roman" w:cs="Times New Roman"/>
          <w:i/>
          <w:iCs/>
          <w:sz w:val="24"/>
          <w:szCs w:val="24"/>
        </w:rPr>
        <w:t xml:space="preserve"> Annmarie </w:t>
      </w:r>
      <w:proofErr w:type="spellStart"/>
      <w:r w:rsidR="00AD2B11" w:rsidRPr="00AD2B11">
        <w:rPr>
          <w:rFonts w:ascii="Times New Roman" w:hAnsi="Times New Roman" w:cs="Times New Roman"/>
          <w:i/>
          <w:iCs/>
          <w:sz w:val="24"/>
          <w:szCs w:val="24"/>
        </w:rPr>
        <w:t>PalincsarStanford</w:t>
      </w:r>
      <w:proofErr w:type="spellEnd"/>
      <w:r w:rsidR="00AD2B11" w:rsidRPr="00AD2B11">
        <w:rPr>
          <w:rFonts w:ascii="Times New Roman" w:hAnsi="Times New Roman" w:cs="Times New Roman"/>
          <w:i/>
          <w:iCs/>
          <w:sz w:val="24"/>
          <w:szCs w:val="24"/>
        </w:rPr>
        <w:t xml:space="preserve"> University School of Education</w:t>
      </w:r>
      <w:r w:rsidR="00AD2B11">
        <w:rPr>
          <w:rFonts w:ascii="Times New Roman" w:hAnsi="Times New Roman" w:cs="Times New Roman"/>
          <w:i/>
          <w:iCs/>
          <w:sz w:val="24"/>
          <w:szCs w:val="24"/>
        </w:rPr>
        <w:t>)</w:t>
      </w:r>
      <w:r w:rsidR="00AD2B11">
        <w:rPr>
          <w:rFonts w:ascii="Times New Roman" w:hAnsi="Times New Roman" w:cs="Times New Roman"/>
          <w:sz w:val="24"/>
          <w:szCs w:val="24"/>
        </w:rPr>
        <w:t xml:space="preserve"> expert researcher writers and thus it is credible to ne used in my research</w:t>
      </w:r>
    </w:p>
    <w:p w14:paraId="7C542882" w14:textId="77777777" w:rsidR="00EF7535" w:rsidRPr="00A35ADB" w:rsidRDefault="00EF7535" w:rsidP="00085889">
      <w:pPr>
        <w:ind w:firstLine="0"/>
        <w:rPr>
          <w:rFonts w:ascii="Times New Roman" w:hAnsi="Times New Roman" w:cs="Times New Roman"/>
          <w:b/>
          <w:bCs/>
          <w:color w:val="222222"/>
          <w:sz w:val="24"/>
          <w:szCs w:val="24"/>
          <w:shd w:val="clear" w:color="auto" w:fill="FFFFFF"/>
        </w:rPr>
      </w:pPr>
      <w:r w:rsidRPr="00A35ADB">
        <w:rPr>
          <w:rFonts w:ascii="Times New Roman" w:hAnsi="Times New Roman" w:cs="Times New Roman"/>
          <w:b/>
          <w:bCs/>
          <w:color w:val="222222"/>
          <w:sz w:val="24"/>
          <w:szCs w:val="24"/>
          <w:shd w:val="clear" w:color="auto" w:fill="FFFFFF"/>
        </w:rPr>
        <w:t>Jamaliah, M. S., &amp; Sari, R. (2020). IMPROVING STUDENT’S READING COMPREHENSION BY USING THINK PAIR SHARE TECHNIQUE. </w:t>
      </w:r>
      <w:r w:rsidRPr="00A35ADB">
        <w:rPr>
          <w:rFonts w:ascii="Times New Roman" w:hAnsi="Times New Roman" w:cs="Times New Roman"/>
          <w:b/>
          <w:bCs/>
          <w:i/>
          <w:iCs/>
          <w:color w:val="222222"/>
          <w:sz w:val="24"/>
          <w:szCs w:val="24"/>
          <w:shd w:val="clear" w:color="auto" w:fill="FFFFFF"/>
        </w:rPr>
        <w:t>Jurnal Real Riset</w:t>
      </w:r>
      <w:r w:rsidRPr="00A35ADB">
        <w:rPr>
          <w:rFonts w:ascii="Times New Roman" w:hAnsi="Times New Roman" w:cs="Times New Roman"/>
          <w:b/>
          <w:bCs/>
          <w:color w:val="222222"/>
          <w:sz w:val="24"/>
          <w:szCs w:val="24"/>
          <w:shd w:val="clear" w:color="auto" w:fill="FFFFFF"/>
        </w:rPr>
        <w:t>, </w:t>
      </w:r>
      <w:r w:rsidRPr="00A35ADB">
        <w:rPr>
          <w:rFonts w:ascii="Times New Roman" w:hAnsi="Times New Roman" w:cs="Times New Roman"/>
          <w:b/>
          <w:bCs/>
          <w:i/>
          <w:iCs/>
          <w:color w:val="222222"/>
          <w:sz w:val="24"/>
          <w:szCs w:val="24"/>
          <w:shd w:val="clear" w:color="auto" w:fill="FFFFFF"/>
        </w:rPr>
        <w:t>2</w:t>
      </w:r>
      <w:r w:rsidRPr="00A35ADB">
        <w:rPr>
          <w:rFonts w:ascii="Times New Roman" w:hAnsi="Times New Roman" w:cs="Times New Roman"/>
          <w:b/>
          <w:bCs/>
          <w:color w:val="222222"/>
          <w:sz w:val="24"/>
          <w:szCs w:val="24"/>
          <w:shd w:val="clear" w:color="auto" w:fill="FFFFFF"/>
        </w:rPr>
        <w:t xml:space="preserve">(1). </w:t>
      </w:r>
      <w:hyperlink r:id="rId8" w:history="1">
        <w:r w:rsidRPr="00A35ADB">
          <w:rPr>
            <w:rStyle w:val="Hyperlink"/>
            <w:rFonts w:ascii="Times New Roman" w:hAnsi="Times New Roman" w:cs="Times New Roman"/>
            <w:sz w:val="24"/>
            <w:szCs w:val="24"/>
          </w:rPr>
          <w:t>https://media.neliti.com/media/publications/192183-EN-the-use-of-think-pair-share-technique-to.pdf</w:t>
        </w:r>
      </w:hyperlink>
      <w:r w:rsidRPr="00A35ADB">
        <w:rPr>
          <w:rFonts w:ascii="Times New Roman" w:hAnsi="Times New Roman" w:cs="Times New Roman"/>
          <w:sz w:val="24"/>
          <w:szCs w:val="24"/>
        </w:rPr>
        <w:t xml:space="preserve"> </w:t>
      </w:r>
    </w:p>
    <w:p w14:paraId="6C0503FA" w14:textId="537E817B" w:rsidR="00A35ADB" w:rsidRDefault="00EF7535" w:rsidP="00085889">
      <w:pPr>
        <w:rPr>
          <w:rFonts w:ascii="Times New Roman" w:hAnsi="Times New Roman" w:cs="Times New Roman"/>
          <w:color w:val="222222"/>
          <w:sz w:val="24"/>
          <w:szCs w:val="24"/>
          <w:shd w:val="clear" w:color="auto" w:fill="FFFFFF"/>
        </w:rPr>
      </w:pPr>
      <w:r w:rsidRPr="00A35ADB">
        <w:rPr>
          <w:rFonts w:ascii="Times New Roman" w:hAnsi="Times New Roman" w:cs="Times New Roman"/>
          <w:color w:val="222222"/>
          <w:sz w:val="24"/>
          <w:szCs w:val="24"/>
          <w:shd w:val="clear" w:color="auto" w:fill="FFFFFF"/>
        </w:rPr>
        <w:t xml:space="preserve">This reading is addressing the impact of using Think Pair Share Technique by teachers in helping students to read and comprehend a text. </w:t>
      </w:r>
      <w:r w:rsidR="002676E6">
        <w:rPr>
          <w:rFonts w:ascii="Times New Roman" w:hAnsi="Times New Roman" w:cs="Times New Roman"/>
          <w:color w:val="222222"/>
          <w:sz w:val="24"/>
          <w:szCs w:val="24"/>
          <w:shd w:val="clear" w:color="auto" w:fill="FFFFFF"/>
        </w:rPr>
        <w:t>The article s</w:t>
      </w:r>
      <w:r w:rsidRPr="00A35ADB">
        <w:rPr>
          <w:rFonts w:ascii="Times New Roman" w:hAnsi="Times New Roman" w:cs="Times New Roman"/>
          <w:color w:val="222222"/>
          <w:sz w:val="24"/>
          <w:szCs w:val="24"/>
          <w:shd w:val="clear" w:color="auto" w:fill="FFFFFF"/>
        </w:rPr>
        <w:t>how</w:t>
      </w:r>
      <w:r w:rsidR="002676E6">
        <w:rPr>
          <w:rFonts w:ascii="Times New Roman" w:hAnsi="Times New Roman" w:cs="Times New Roman"/>
          <w:color w:val="222222"/>
          <w:sz w:val="24"/>
          <w:szCs w:val="24"/>
          <w:shd w:val="clear" w:color="auto" w:fill="FFFFFF"/>
        </w:rPr>
        <w:t>s how</w:t>
      </w:r>
      <w:r w:rsidRPr="00A35ADB">
        <w:rPr>
          <w:rFonts w:ascii="Times New Roman" w:hAnsi="Times New Roman" w:cs="Times New Roman"/>
          <w:color w:val="222222"/>
          <w:sz w:val="24"/>
          <w:szCs w:val="24"/>
          <w:shd w:val="clear" w:color="auto" w:fill="FFFFFF"/>
        </w:rPr>
        <w:t xml:space="preserve"> </w:t>
      </w:r>
      <w:r w:rsidRPr="002676E6">
        <w:rPr>
          <w:rFonts w:ascii="Times New Roman" w:hAnsi="Times New Roman" w:cs="Times New Roman"/>
          <w:i/>
          <w:iCs/>
          <w:color w:val="222222"/>
          <w:sz w:val="24"/>
          <w:szCs w:val="24"/>
          <w:shd w:val="clear" w:color="auto" w:fill="FFFFFF"/>
        </w:rPr>
        <w:t xml:space="preserve">think pair share </w:t>
      </w:r>
      <w:r w:rsidRPr="002676E6">
        <w:rPr>
          <w:rFonts w:ascii="Times New Roman" w:hAnsi="Times New Roman" w:cs="Times New Roman"/>
          <w:i/>
          <w:iCs/>
          <w:color w:val="222222"/>
          <w:sz w:val="24"/>
          <w:szCs w:val="24"/>
          <w:shd w:val="clear" w:color="auto" w:fill="FFFFFF"/>
        </w:rPr>
        <w:lastRenderedPageBreak/>
        <w:t>technique</w:t>
      </w:r>
      <w:r w:rsidRPr="00A35ADB">
        <w:rPr>
          <w:rFonts w:ascii="Times New Roman" w:hAnsi="Times New Roman" w:cs="Times New Roman"/>
          <w:color w:val="222222"/>
          <w:sz w:val="24"/>
          <w:szCs w:val="24"/>
          <w:shd w:val="clear" w:color="auto" w:fill="FFFFFF"/>
        </w:rPr>
        <w:t xml:space="preserve"> positively impacts student performance, and this means that it can be used to help students to know how to think rather than what to think. The method is effective in the learning process, and it makes students gain more confidence. With such </w:t>
      </w:r>
      <w:proofErr w:type="gramStart"/>
      <w:r w:rsidRPr="00A35ADB">
        <w:rPr>
          <w:rFonts w:ascii="Times New Roman" w:hAnsi="Times New Roman" w:cs="Times New Roman"/>
          <w:color w:val="222222"/>
          <w:sz w:val="24"/>
          <w:szCs w:val="24"/>
          <w:shd w:val="clear" w:color="auto" w:fill="FFFFFF"/>
        </w:rPr>
        <w:t>confidence.,</w:t>
      </w:r>
      <w:proofErr w:type="gramEnd"/>
      <w:r w:rsidRPr="00A35ADB">
        <w:rPr>
          <w:rFonts w:ascii="Times New Roman" w:hAnsi="Times New Roman" w:cs="Times New Roman"/>
          <w:color w:val="222222"/>
          <w:sz w:val="24"/>
          <w:szCs w:val="24"/>
          <w:shd w:val="clear" w:color="auto" w:fill="FFFFFF"/>
        </w:rPr>
        <w:t xml:space="preserve"> students can share ideas with their peers</w:t>
      </w:r>
      <w:r w:rsidR="002676E6" w:rsidRPr="00A35ADB">
        <w:rPr>
          <w:rFonts w:ascii="Times New Roman" w:hAnsi="Times New Roman" w:cs="Times New Roman"/>
          <w:color w:val="222222"/>
          <w:sz w:val="24"/>
          <w:szCs w:val="24"/>
          <w:shd w:val="clear" w:color="auto" w:fill="FFFFFF"/>
        </w:rPr>
        <w:t>. This</w:t>
      </w:r>
      <w:r w:rsidRPr="00A35ADB">
        <w:rPr>
          <w:rFonts w:ascii="Times New Roman" w:hAnsi="Times New Roman" w:cs="Times New Roman"/>
          <w:color w:val="222222"/>
          <w:sz w:val="24"/>
          <w:szCs w:val="24"/>
          <w:shd w:val="clear" w:color="auto" w:fill="FFFFFF"/>
        </w:rPr>
        <w:t xml:space="preserve"> source is relevant to the topic as it proves to be effective</w:t>
      </w:r>
      <w:r w:rsidR="0059437B">
        <w:rPr>
          <w:rFonts w:ascii="Times New Roman" w:hAnsi="Times New Roman" w:cs="Times New Roman"/>
          <w:color w:val="222222"/>
          <w:sz w:val="24"/>
          <w:szCs w:val="24"/>
          <w:shd w:val="clear" w:color="auto" w:fill="FFFFFF"/>
        </w:rPr>
        <w:t xml:space="preserve"> by </w:t>
      </w:r>
      <w:r w:rsidR="00820E2A">
        <w:rPr>
          <w:rFonts w:ascii="Times New Roman" w:hAnsi="Times New Roman" w:cs="Times New Roman"/>
          <w:color w:val="222222"/>
          <w:sz w:val="24"/>
          <w:szCs w:val="24"/>
          <w:shd w:val="clear" w:color="auto" w:fill="FFFFFF"/>
        </w:rPr>
        <w:t xml:space="preserve">teachers </w:t>
      </w:r>
      <w:r w:rsidR="00820E2A" w:rsidRPr="00A35ADB">
        <w:rPr>
          <w:rFonts w:ascii="Times New Roman" w:hAnsi="Times New Roman" w:cs="Times New Roman"/>
          <w:color w:val="222222"/>
          <w:sz w:val="24"/>
          <w:szCs w:val="24"/>
          <w:shd w:val="clear" w:color="auto" w:fill="FFFFFF"/>
        </w:rPr>
        <w:t>in</w:t>
      </w:r>
      <w:r w:rsidRPr="00A35ADB">
        <w:rPr>
          <w:rFonts w:ascii="Times New Roman" w:hAnsi="Times New Roman" w:cs="Times New Roman"/>
          <w:color w:val="222222"/>
          <w:sz w:val="24"/>
          <w:szCs w:val="24"/>
          <w:shd w:val="clear" w:color="auto" w:fill="FFFFFF"/>
        </w:rPr>
        <w:t xml:space="preserve"> giving an opportunity for students to work on their own</w:t>
      </w:r>
      <w:r w:rsidR="0059437B">
        <w:rPr>
          <w:rFonts w:ascii="Times New Roman" w:hAnsi="Times New Roman" w:cs="Times New Roman"/>
          <w:color w:val="222222"/>
          <w:sz w:val="24"/>
          <w:szCs w:val="24"/>
          <w:shd w:val="clear" w:color="auto" w:fill="FFFFFF"/>
        </w:rPr>
        <w:t xml:space="preserve">. Besides, </w:t>
      </w:r>
      <w:r w:rsidRPr="00A35ADB">
        <w:rPr>
          <w:rFonts w:ascii="Times New Roman" w:hAnsi="Times New Roman" w:cs="Times New Roman"/>
          <w:color w:val="222222"/>
          <w:sz w:val="24"/>
          <w:szCs w:val="24"/>
          <w:shd w:val="clear" w:color="auto" w:fill="FFFFFF"/>
        </w:rPr>
        <w:t>this means that such learners can think independently. The technique also offers pair-time to students, and this enables them to discuss what they have understood in groups and share their discussion</w:t>
      </w:r>
      <w:r>
        <w:rPr>
          <w:rFonts w:ascii="Times New Roman" w:hAnsi="Times New Roman" w:cs="Times New Roman"/>
          <w:color w:val="222222"/>
          <w:sz w:val="24"/>
          <w:szCs w:val="24"/>
          <w:shd w:val="clear" w:color="auto" w:fill="FFFFFF"/>
        </w:rPr>
        <w:t>.</w:t>
      </w:r>
      <w:r w:rsidR="00205215">
        <w:rPr>
          <w:rFonts w:ascii="Times New Roman" w:hAnsi="Times New Roman" w:cs="Times New Roman"/>
          <w:color w:val="222222"/>
          <w:sz w:val="24"/>
          <w:szCs w:val="24"/>
          <w:shd w:val="clear" w:color="auto" w:fill="FFFFFF"/>
        </w:rPr>
        <w:t xml:space="preserve"> </w:t>
      </w:r>
      <w:r w:rsidR="00205215" w:rsidRPr="00A35ADB">
        <w:rPr>
          <w:rFonts w:ascii="Times New Roman" w:hAnsi="Times New Roman" w:cs="Times New Roman"/>
          <w:color w:val="222222"/>
          <w:sz w:val="24"/>
          <w:szCs w:val="24"/>
          <w:shd w:val="clear" w:color="auto" w:fill="FFFFFF"/>
        </w:rPr>
        <w:t xml:space="preserve">However, the </w:t>
      </w:r>
      <w:r w:rsidR="00261F49" w:rsidRPr="00A35ADB">
        <w:rPr>
          <w:rFonts w:ascii="Times New Roman" w:hAnsi="Times New Roman" w:cs="Times New Roman"/>
          <w:color w:val="222222"/>
          <w:sz w:val="24"/>
          <w:szCs w:val="24"/>
          <w:shd w:val="clear" w:color="auto" w:fill="FFFFFF"/>
        </w:rPr>
        <w:t xml:space="preserve">authors </w:t>
      </w:r>
      <w:r w:rsidR="00261F49">
        <w:rPr>
          <w:rFonts w:ascii="Times New Roman" w:hAnsi="Times New Roman" w:cs="Times New Roman"/>
          <w:color w:val="222222"/>
          <w:sz w:val="24"/>
          <w:szCs w:val="24"/>
          <w:shd w:val="clear" w:color="auto" w:fill="FFFFFF"/>
        </w:rPr>
        <w:t>of</w:t>
      </w:r>
      <w:r w:rsidR="00A56DCF">
        <w:rPr>
          <w:rFonts w:ascii="Times New Roman" w:hAnsi="Times New Roman" w:cs="Times New Roman"/>
          <w:color w:val="222222"/>
          <w:sz w:val="24"/>
          <w:szCs w:val="24"/>
          <w:shd w:val="clear" w:color="auto" w:fill="FFFFFF"/>
        </w:rPr>
        <w:t xml:space="preserve"> this sources are researchers in different field having written a couple of </w:t>
      </w:r>
      <w:r w:rsidR="00F857F4">
        <w:rPr>
          <w:rFonts w:ascii="Times New Roman" w:hAnsi="Times New Roman" w:cs="Times New Roman"/>
          <w:color w:val="222222"/>
          <w:sz w:val="24"/>
          <w:szCs w:val="24"/>
          <w:shd w:val="clear" w:color="auto" w:fill="FFFFFF"/>
        </w:rPr>
        <w:t>scholarly</w:t>
      </w:r>
      <w:r w:rsidR="00A56DCF">
        <w:rPr>
          <w:rFonts w:ascii="Times New Roman" w:hAnsi="Times New Roman" w:cs="Times New Roman"/>
          <w:color w:val="222222"/>
          <w:sz w:val="24"/>
          <w:szCs w:val="24"/>
          <w:shd w:val="clear" w:color="auto" w:fill="FFFFFF"/>
        </w:rPr>
        <w:t xml:space="preserve"> articles and thus, this</w:t>
      </w:r>
      <w:r w:rsidR="00205215" w:rsidRPr="00A35ADB">
        <w:rPr>
          <w:rFonts w:ascii="Times New Roman" w:hAnsi="Times New Roman" w:cs="Times New Roman"/>
          <w:color w:val="222222"/>
          <w:sz w:val="24"/>
          <w:szCs w:val="24"/>
          <w:shd w:val="clear" w:color="auto" w:fill="FFFFFF"/>
        </w:rPr>
        <w:t xml:space="preserve"> proves</w:t>
      </w:r>
      <w:r w:rsidR="00A56DCF">
        <w:rPr>
          <w:rFonts w:ascii="Times New Roman" w:hAnsi="Times New Roman" w:cs="Times New Roman"/>
          <w:color w:val="222222"/>
          <w:sz w:val="24"/>
          <w:szCs w:val="24"/>
          <w:shd w:val="clear" w:color="auto" w:fill="FFFFFF"/>
        </w:rPr>
        <w:t xml:space="preserve"> the </w:t>
      </w:r>
      <w:r w:rsidR="00261F49">
        <w:rPr>
          <w:rFonts w:ascii="Times New Roman" w:hAnsi="Times New Roman" w:cs="Times New Roman"/>
          <w:color w:val="222222"/>
          <w:sz w:val="24"/>
          <w:szCs w:val="24"/>
          <w:shd w:val="clear" w:color="auto" w:fill="FFFFFF"/>
        </w:rPr>
        <w:t xml:space="preserve">source </w:t>
      </w:r>
      <w:r w:rsidR="00261F49" w:rsidRPr="00A35ADB">
        <w:rPr>
          <w:rFonts w:ascii="Times New Roman" w:hAnsi="Times New Roman" w:cs="Times New Roman"/>
          <w:color w:val="222222"/>
          <w:sz w:val="24"/>
          <w:szCs w:val="24"/>
          <w:shd w:val="clear" w:color="auto" w:fill="FFFFFF"/>
        </w:rPr>
        <w:t>to</w:t>
      </w:r>
      <w:r w:rsidR="00205215" w:rsidRPr="00A35ADB">
        <w:rPr>
          <w:rFonts w:ascii="Times New Roman" w:hAnsi="Times New Roman" w:cs="Times New Roman"/>
          <w:color w:val="222222"/>
          <w:sz w:val="24"/>
          <w:szCs w:val="24"/>
          <w:shd w:val="clear" w:color="auto" w:fill="FFFFFF"/>
        </w:rPr>
        <w:t xml:space="preserve"> be useful in addressing how teachers can help learners know how to think</w:t>
      </w:r>
      <w:r w:rsidR="00205215">
        <w:rPr>
          <w:rFonts w:ascii="Times New Roman" w:hAnsi="Times New Roman" w:cs="Times New Roman"/>
          <w:color w:val="222222"/>
          <w:sz w:val="24"/>
          <w:szCs w:val="24"/>
          <w:shd w:val="clear" w:color="auto" w:fill="FFFFFF"/>
        </w:rPr>
        <w:t xml:space="preserve">. </w:t>
      </w:r>
    </w:p>
    <w:p w14:paraId="56D10164" w14:textId="77777777" w:rsidR="00906CFE" w:rsidRDefault="00906CFE" w:rsidP="00906CFE">
      <w:pPr>
        <w:ind w:left="-480" w:firstLine="0"/>
        <w:rPr>
          <w:rFonts w:ascii="Times New Roman" w:hAnsi="Times New Roman" w:cs="Times New Roman"/>
          <w:b/>
          <w:color w:val="222222"/>
          <w:sz w:val="24"/>
          <w:szCs w:val="24"/>
          <w:shd w:val="clear" w:color="auto" w:fill="FFFFFF"/>
        </w:rPr>
      </w:pPr>
      <w:r w:rsidRPr="00BF2EBD">
        <w:rPr>
          <w:rFonts w:ascii="Times New Roman" w:hAnsi="Times New Roman" w:cs="Times New Roman"/>
          <w:b/>
          <w:color w:val="222222"/>
          <w:sz w:val="24"/>
          <w:szCs w:val="24"/>
          <w:shd w:val="clear" w:color="auto" w:fill="FFFFFF"/>
        </w:rPr>
        <w:t>Larsson, K. (2019). Using Essay Responses as a Basis for Teaching Critical Thinking–a Variation Theory Approach. </w:t>
      </w:r>
      <w:r w:rsidRPr="00BF2EBD">
        <w:rPr>
          <w:rFonts w:ascii="Times New Roman" w:hAnsi="Times New Roman" w:cs="Times New Roman"/>
          <w:b/>
          <w:i/>
          <w:iCs/>
          <w:color w:val="222222"/>
          <w:sz w:val="24"/>
          <w:szCs w:val="24"/>
          <w:shd w:val="clear" w:color="auto" w:fill="FFFFFF"/>
        </w:rPr>
        <w:t>Scandinavian Journal of Educational Research</w:t>
      </w:r>
      <w:r w:rsidRPr="00BF2EBD">
        <w:rPr>
          <w:rFonts w:ascii="Times New Roman" w:hAnsi="Times New Roman" w:cs="Times New Roman"/>
          <w:b/>
          <w:color w:val="222222"/>
          <w:sz w:val="24"/>
          <w:szCs w:val="24"/>
          <w:shd w:val="clear" w:color="auto" w:fill="FFFFFF"/>
        </w:rPr>
        <w:t>, 1-15.</w:t>
      </w:r>
    </w:p>
    <w:p w14:paraId="2B2F399D" w14:textId="77777777" w:rsidR="00906CFE" w:rsidRPr="00BF2EBD" w:rsidRDefault="00906CFE" w:rsidP="00906CFE">
      <w:pPr>
        <w:ind w:left="-48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gives an overview of how critical thinking can be taught by educators. The article gives various approaches that can be used to teach critical thinking. The authors suggest three methods that can lead to successful teaching of critical thinking to the students. These are; use of tailored teaching methods, use of tailored evaluation and use of theoretical development. The use of essay to asses’ critical thinking can be used for students between the ages of 15-16 years of age. The students are given a particular essay test question to test the ten abilities of critical thinking. The use of the essay improved critical thinking in students. The article is relevant to the topic as readers get to understand the how the use of essay task can be used to improve creative thinking. </w:t>
      </w:r>
      <w:proofErr w:type="spellStart"/>
      <w:r>
        <w:rPr>
          <w:rFonts w:ascii="Times New Roman" w:eastAsia="Times New Roman" w:hAnsi="Times New Roman" w:cs="Times New Roman"/>
          <w:sz w:val="24"/>
          <w:szCs w:val="24"/>
        </w:rPr>
        <w:t>Kristoffer</w:t>
      </w:r>
      <w:proofErr w:type="spellEnd"/>
      <w:r>
        <w:rPr>
          <w:rFonts w:ascii="Times New Roman" w:eastAsia="Times New Roman" w:hAnsi="Times New Roman" w:cs="Times New Roman"/>
          <w:sz w:val="24"/>
          <w:szCs w:val="24"/>
        </w:rPr>
        <w:t xml:space="preserve"> Larsson is a credible author as he is a senior lecturer at the University of Gothenburg in Sweden and have conducted different research on various topics.</w:t>
      </w:r>
    </w:p>
    <w:p w14:paraId="4BBE18FA" w14:textId="4DC1FF2C" w:rsidR="00906CFE" w:rsidRPr="00085889" w:rsidRDefault="00906CFE" w:rsidP="00085889">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14:paraId="17767F44" w14:textId="77777777" w:rsidR="00A35ADB" w:rsidRPr="00A35ADB" w:rsidRDefault="00F00AC2" w:rsidP="00085889">
      <w:pPr>
        <w:ind w:firstLine="0"/>
        <w:rPr>
          <w:rFonts w:ascii="Times New Roman" w:hAnsi="Times New Roman" w:cs="Times New Roman"/>
          <w:b/>
          <w:bCs/>
          <w:sz w:val="24"/>
          <w:szCs w:val="24"/>
        </w:rPr>
      </w:pPr>
      <w:r w:rsidRPr="00A35ADB">
        <w:rPr>
          <w:rFonts w:ascii="Times New Roman" w:hAnsi="Times New Roman" w:cs="Times New Roman"/>
          <w:b/>
          <w:bCs/>
          <w:color w:val="222222"/>
          <w:sz w:val="24"/>
          <w:szCs w:val="24"/>
          <w:shd w:val="clear" w:color="auto" w:fill="FFFFFF"/>
        </w:rPr>
        <w:lastRenderedPageBreak/>
        <w:t>Lai, E. R. (2017). Critical Thinking: A Literature Review Research Report (June).</w:t>
      </w:r>
      <w:r w:rsidRPr="00A35ADB">
        <w:rPr>
          <w:rFonts w:ascii="Times New Roman" w:hAnsi="Times New Roman" w:cs="Times New Roman"/>
          <w:b/>
          <w:bCs/>
          <w:sz w:val="24"/>
          <w:szCs w:val="24"/>
        </w:rPr>
        <w:t xml:space="preserve"> </w:t>
      </w:r>
      <w:hyperlink r:id="rId9" w:history="1">
        <w:r w:rsidRPr="00A35ADB">
          <w:rPr>
            <w:rStyle w:val="Hyperlink"/>
            <w:rFonts w:ascii="Times New Roman" w:hAnsi="Times New Roman" w:cs="Times New Roman"/>
            <w:b/>
            <w:bCs/>
            <w:sz w:val="24"/>
            <w:szCs w:val="24"/>
          </w:rPr>
          <w:t>https://images.pearsonassessments.com/images/tmrs/CriticalThinkingReviewFINAL.pdf</w:t>
        </w:r>
      </w:hyperlink>
    </w:p>
    <w:p w14:paraId="2D4CE0AD" w14:textId="71D2522A" w:rsidR="00C459DB" w:rsidRDefault="00F00AC2" w:rsidP="00C459DB">
      <w:pPr>
        <w:rPr>
          <w:rFonts w:ascii="Times New Roman" w:hAnsi="Times New Roman" w:cs="Times New Roman"/>
          <w:sz w:val="24"/>
          <w:szCs w:val="24"/>
        </w:rPr>
      </w:pPr>
      <w:r w:rsidRPr="00A35ADB">
        <w:rPr>
          <w:rFonts w:ascii="Times New Roman" w:hAnsi="Times New Roman" w:cs="Times New Roman"/>
          <w:sz w:val="24"/>
          <w:szCs w:val="24"/>
        </w:rPr>
        <w:t>The article focuses on the best skills that can be used in analyzing an argument, judging, deductive reasoning, and making a decision. The authors support disposition and cognitive skills as the best critical thinking aspects. The source views disposition as habit and attitude of the human mind, inquisitiveness open-mindedness as well as prosperity in seeking reasons. The source pinpoints metacognition as the best way teachers embrace in guiding students as it offers knowledge while controlling their thinking in a learning context. Teachers should also help learners in realizing awareness of their thinking through questions ass students regulate their cognitive process based on heuristic learning.  This source is relevant to the topic as it attempts to urge teachers to offer explicit instructions when teaching and transferring knowledge. Besides, the constructivist strategy and collaborative method of teaching have been viewed as the best approaches that place students in a position to know how to think.</w:t>
      </w:r>
      <w:r w:rsidR="007D40B5">
        <w:rPr>
          <w:rFonts w:ascii="Times New Roman" w:hAnsi="Times New Roman" w:cs="Times New Roman"/>
          <w:sz w:val="24"/>
          <w:szCs w:val="24"/>
        </w:rPr>
        <w:t xml:space="preserve"> Lai is an expert researcher having written a couple of articles. He is also a writer in </w:t>
      </w:r>
      <w:r w:rsidR="00252DDA">
        <w:rPr>
          <w:rFonts w:ascii="Times New Roman" w:hAnsi="Times New Roman" w:cs="Times New Roman"/>
          <w:sz w:val="24"/>
          <w:szCs w:val="24"/>
        </w:rPr>
        <w:t>Pearson</w:t>
      </w:r>
      <w:r w:rsidR="007D40B5">
        <w:rPr>
          <w:rFonts w:ascii="Times New Roman" w:hAnsi="Times New Roman" w:cs="Times New Roman"/>
          <w:sz w:val="24"/>
          <w:szCs w:val="24"/>
        </w:rPr>
        <w:t xml:space="preserve"> publication and this proves his credibil</w:t>
      </w:r>
      <w:r w:rsidR="006A1F54">
        <w:rPr>
          <w:rFonts w:ascii="Times New Roman" w:hAnsi="Times New Roman" w:cs="Times New Roman"/>
          <w:sz w:val="24"/>
          <w:szCs w:val="24"/>
        </w:rPr>
        <w:t>ity.</w:t>
      </w:r>
      <w:bookmarkStart w:id="0" w:name="_GoBack"/>
      <w:bookmarkEnd w:id="0"/>
    </w:p>
    <w:p w14:paraId="347DA3E4" w14:textId="79541DC4" w:rsidR="00DE5B17" w:rsidRPr="00C1657B" w:rsidRDefault="00F05D97" w:rsidP="00C459DB">
      <w:pPr>
        <w:ind w:firstLine="0"/>
        <w:rPr>
          <w:rFonts w:ascii="Times New Roman" w:hAnsi="Times New Roman" w:cs="Times New Roman"/>
          <w:sz w:val="24"/>
          <w:szCs w:val="24"/>
        </w:rPr>
      </w:pPr>
      <w:proofErr w:type="spellStart"/>
      <w:r>
        <w:rPr>
          <w:rFonts w:ascii="Times New Roman" w:eastAsia="Times New Roman" w:hAnsi="Times New Roman" w:cs="Times New Roman"/>
          <w:b/>
          <w:sz w:val="24"/>
          <w:szCs w:val="24"/>
        </w:rPr>
        <w:t>Melo</w:t>
      </w:r>
      <w:r w:rsidR="00F00AC2" w:rsidRPr="00DE5B17">
        <w:rPr>
          <w:rFonts w:ascii="Times New Roman" w:eastAsia="Times New Roman" w:hAnsi="Times New Roman" w:cs="Times New Roman"/>
          <w:b/>
          <w:sz w:val="24"/>
          <w:szCs w:val="24"/>
        </w:rPr>
        <w:t>Leon</w:t>
      </w:r>
      <w:proofErr w:type="spellEnd"/>
      <w:r w:rsidR="00F00AC2" w:rsidRPr="00DE5B17">
        <w:rPr>
          <w:rFonts w:ascii="Times New Roman" w:eastAsia="Times New Roman" w:hAnsi="Times New Roman" w:cs="Times New Roman"/>
          <w:b/>
          <w:sz w:val="24"/>
          <w:szCs w:val="24"/>
        </w:rPr>
        <w:t xml:space="preserve">, J. (2015). A baseline study of strategies to promote critical thinking in the preschool classroom. </w:t>
      </w:r>
      <w:r w:rsidR="00F00AC2" w:rsidRPr="00DE5B17">
        <w:rPr>
          <w:rFonts w:ascii="Times New Roman" w:eastAsia="Times New Roman" w:hAnsi="Times New Roman" w:cs="Times New Roman"/>
          <w:b/>
          <w:i/>
          <w:iCs/>
          <w:sz w:val="24"/>
          <w:szCs w:val="24"/>
        </w:rPr>
        <w:t>Gist (Bogotá)</w:t>
      </w:r>
      <w:r w:rsidR="00F00AC2" w:rsidRPr="00DE5B17">
        <w:rPr>
          <w:rFonts w:ascii="Times New Roman" w:eastAsia="Times New Roman" w:hAnsi="Times New Roman" w:cs="Times New Roman"/>
          <w:b/>
          <w:sz w:val="24"/>
          <w:szCs w:val="24"/>
        </w:rPr>
        <w:t xml:space="preserve">, </w:t>
      </w:r>
      <w:r w:rsidR="00F00AC2" w:rsidRPr="00DE5B17">
        <w:rPr>
          <w:rFonts w:ascii="Times New Roman" w:eastAsia="Times New Roman" w:hAnsi="Times New Roman" w:cs="Times New Roman"/>
          <w:b/>
          <w:i/>
          <w:iCs/>
          <w:sz w:val="24"/>
          <w:szCs w:val="24"/>
        </w:rPr>
        <w:t>10</w:t>
      </w:r>
      <w:r w:rsidR="00F00AC2" w:rsidRPr="00DE5B17">
        <w:rPr>
          <w:rFonts w:ascii="Times New Roman" w:eastAsia="Times New Roman" w:hAnsi="Times New Roman" w:cs="Times New Roman"/>
          <w:b/>
          <w:sz w:val="24"/>
          <w:szCs w:val="24"/>
        </w:rPr>
        <w:t>, 113–127.</w:t>
      </w:r>
    </w:p>
    <w:p w14:paraId="5A26C4E0" w14:textId="77777777" w:rsidR="00906CFE" w:rsidRDefault="00F00AC2" w:rsidP="00906CFE">
      <w:pPr>
        <w:ind w:left="-480" w:firstLine="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focuses on the importance of teaching </w:t>
      </w:r>
      <w:r w:rsidR="00AA242F">
        <w:rPr>
          <w:rFonts w:ascii="Times New Roman" w:eastAsia="Times New Roman" w:hAnsi="Times New Roman" w:cs="Times New Roman"/>
          <w:sz w:val="24"/>
          <w:szCs w:val="24"/>
        </w:rPr>
        <w:t xml:space="preserve">young children on </w:t>
      </w:r>
      <w:r w:rsidR="00C40447">
        <w:rPr>
          <w:rFonts w:ascii="Times New Roman" w:eastAsia="Times New Roman" w:hAnsi="Times New Roman" w:cs="Times New Roman"/>
          <w:sz w:val="24"/>
          <w:szCs w:val="24"/>
        </w:rPr>
        <w:t xml:space="preserve">how to think as thinking starts when a child is young. </w:t>
      </w:r>
      <w:r w:rsidR="001909B3">
        <w:rPr>
          <w:rFonts w:ascii="Times New Roman" w:eastAsia="Times New Roman" w:hAnsi="Times New Roman" w:cs="Times New Roman"/>
          <w:sz w:val="24"/>
          <w:szCs w:val="24"/>
        </w:rPr>
        <w:t xml:space="preserve">The article identifies different incidences </w:t>
      </w:r>
      <w:r w:rsidR="006367C8">
        <w:rPr>
          <w:rFonts w:ascii="Times New Roman" w:eastAsia="Times New Roman" w:hAnsi="Times New Roman" w:cs="Times New Roman"/>
          <w:sz w:val="24"/>
          <w:szCs w:val="24"/>
        </w:rPr>
        <w:t xml:space="preserve">in which </w:t>
      </w:r>
      <w:r w:rsidR="00DD5E94">
        <w:rPr>
          <w:rFonts w:ascii="Times New Roman" w:eastAsia="Times New Roman" w:hAnsi="Times New Roman" w:cs="Times New Roman"/>
          <w:sz w:val="24"/>
          <w:szCs w:val="24"/>
        </w:rPr>
        <w:t xml:space="preserve">critical thinking is applied in preschool children and how teachers can help children to think critically. The author emphasizes on how a child’s brain is fresh and it becomes easy for one to help them understand on different aspects. The author explains on how preschools can learn in more thoughtful ways. The author states that teachers can teach children on how to think through the process of active </w:t>
      </w:r>
      <w:r w:rsidR="00DD5E94">
        <w:rPr>
          <w:rFonts w:ascii="Times New Roman" w:eastAsia="Times New Roman" w:hAnsi="Times New Roman" w:cs="Times New Roman"/>
          <w:sz w:val="24"/>
          <w:szCs w:val="24"/>
        </w:rPr>
        <w:lastRenderedPageBreak/>
        <w:t xml:space="preserve">experience. Questions, play and curiosity have helped the students on how to think. The article is relevant to the topic in that the author informs us on the importance of helping </w:t>
      </w:r>
      <w:r w:rsidR="007A5856">
        <w:rPr>
          <w:rFonts w:ascii="Times New Roman" w:eastAsia="Times New Roman" w:hAnsi="Times New Roman" w:cs="Times New Roman"/>
          <w:sz w:val="24"/>
          <w:szCs w:val="24"/>
        </w:rPr>
        <w:t xml:space="preserve">preschoolers to think as their stage of development is critical and important in development of thinking skills. The author is a teacher as Gimnasao La Montana with a work experience of ten years with a master’s degree in education. She is therefore credible for </w:t>
      </w:r>
      <w:r w:rsidR="00B404AE">
        <w:rPr>
          <w:rFonts w:ascii="Times New Roman" w:eastAsia="Times New Roman" w:hAnsi="Times New Roman" w:cs="Times New Roman"/>
          <w:sz w:val="24"/>
          <w:szCs w:val="24"/>
        </w:rPr>
        <w:t>this article</w:t>
      </w:r>
      <w:r w:rsidR="007A5856">
        <w:rPr>
          <w:rFonts w:ascii="Times New Roman" w:eastAsia="Times New Roman" w:hAnsi="Times New Roman" w:cs="Times New Roman"/>
          <w:sz w:val="24"/>
          <w:szCs w:val="24"/>
        </w:rPr>
        <w:t xml:space="preserve">. </w:t>
      </w:r>
    </w:p>
    <w:p w14:paraId="322A12F4" w14:textId="1C5BBB8A" w:rsidR="00085889" w:rsidRPr="00906CFE" w:rsidRDefault="00E30A42" w:rsidP="00906CFE">
      <w:pPr>
        <w:ind w:left="-480" w:firstLine="0"/>
        <w:rPr>
          <w:rFonts w:ascii="Times New Roman" w:eastAsia="Times New Roman" w:hAnsi="Times New Roman" w:cs="Times New Roman"/>
          <w:sz w:val="24"/>
          <w:szCs w:val="24"/>
        </w:rPr>
      </w:pPr>
      <w:r w:rsidRPr="00B921FA">
        <w:rPr>
          <w:rFonts w:ascii="Times New Roman" w:eastAsia="Times New Roman" w:hAnsi="Times New Roman" w:cs="Times New Roman"/>
          <w:b/>
          <w:sz w:val="24"/>
          <w:szCs w:val="24"/>
        </w:rPr>
        <w:t xml:space="preserve">Schmaltz, R. M., Jansen, E., &amp; Wenckowski, N. (2017). Redefining critical thinking: Teaching students to think like scientists. </w:t>
      </w:r>
      <w:r w:rsidRPr="00B921FA">
        <w:rPr>
          <w:rFonts w:ascii="Times New Roman" w:eastAsia="Times New Roman" w:hAnsi="Times New Roman" w:cs="Times New Roman"/>
          <w:b/>
          <w:i/>
          <w:iCs/>
          <w:sz w:val="24"/>
          <w:szCs w:val="24"/>
        </w:rPr>
        <w:t>Frontiers in Psychology</w:t>
      </w:r>
      <w:r w:rsidRPr="00B921FA">
        <w:rPr>
          <w:rFonts w:ascii="Times New Roman" w:eastAsia="Times New Roman" w:hAnsi="Times New Roman" w:cs="Times New Roman"/>
          <w:b/>
          <w:sz w:val="24"/>
          <w:szCs w:val="24"/>
        </w:rPr>
        <w:t xml:space="preserve">, </w:t>
      </w:r>
      <w:r w:rsidRPr="00B921FA">
        <w:rPr>
          <w:rFonts w:ascii="Times New Roman" w:eastAsia="Times New Roman" w:hAnsi="Times New Roman" w:cs="Times New Roman"/>
          <w:b/>
          <w:i/>
          <w:iCs/>
          <w:sz w:val="24"/>
          <w:szCs w:val="24"/>
        </w:rPr>
        <w:t>8</w:t>
      </w:r>
      <w:r w:rsidRPr="00B921FA">
        <w:rPr>
          <w:rFonts w:ascii="Times New Roman" w:eastAsia="Times New Roman" w:hAnsi="Times New Roman" w:cs="Times New Roman"/>
          <w:b/>
          <w:sz w:val="24"/>
          <w:szCs w:val="24"/>
        </w:rPr>
        <w:t>, 459.</w:t>
      </w:r>
    </w:p>
    <w:p w14:paraId="330F8CCB" w14:textId="295476C3" w:rsidR="00D96B50" w:rsidRPr="00085889" w:rsidRDefault="00E30A42" w:rsidP="00085889">
      <w:pPr>
        <w:rPr>
          <w:rFonts w:ascii="Times New Roman" w:eastAsia="Times New Roman" w:hAnsi="Times New Roman" w:cs="Times New Roman"/>
          <w:b/>
          <w:sz w:val="24"/>
          <w:szCs w:val="24"/>
        </w:rPr>
      </w:pPr>
      <w:r>
        <w:rPr>
          <w:rFonts w:ascii="Times New Roman" w:eastAsia="Times New Roman" w:hAnsi="Times New Roman" w:cs="Times New Roman"/>
          <w:sz w:val="24"/>
          <w:szCs w:val="24"/>
        </w:rPr>
        <w:t>The article focuses on how teachers can help students to think critically in a scientific manner. The author begins by giving the reader a deeper meaning of critical thinking as it involves different skills and abilities. The author insists that students should be taught on how to think like scientist. The article also focuses on how teachers can help students by designing specific policies that are meant to help the students think. The author emphasizes that educators should teach students on how to think critically like scientists as it helps students make good arguments, recognize their own weaknesses and those of others, and they are able to form their own arguments. Th</w:t>
      </w:r>
      <w:r w:rsidR="00941B5F">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article is relevant to the topic as it helps one to evaluate mechanisms through which scientific thinking is important as a way of helping students how to think. The author: </w:t>
      </w:r>
      <w:r w:rsidRPr="00B921FA">
        <w:rPr>
          <w:rFonts w:ascii="Times New Roman" w:eastAsia="Times New Roman" w:hAnsi="Times New Roman" w:cs="Times New Roman"/>
          <w:sz w:val="24"/>
          <w:szCs w:val="24"/>
        </w:rPr>
        <w:t>Schmaltz</w:t>
      </w:r>
      <w:r>
        <w:rPr>
          <w:rFonts w:ascii="Times New Roman" w:eastAsia="Times New Roman" w:hAnsi="Times New Roman" w:cs="Times New Roman"/>
          <w:sz w:val="24"/>
          <w:szCs w:val="24"/>
        </w:rPr>
        <w:t xml:space="preserve"> was a past chair of the research ethics board at MacEwan University in Edmonton Canada, with a doctorate degree from university of Alberta.</w:t>
      </w:r>
      <w:r w:rsidR="00085889">
        <w:rPr>
          <w:rFonts w:ascii="Times New Roman" w:eastAsia="Times New Roman" w:hAnsi="Times New Roman" w:cs="Times New Roman"/>
          <w:sz w:val="24"/>
          <w:szCs w:val="24"/>
        </w:rPr>
        <w:t xml:space="preserve"> </w:t>
      </w:r>
    </w:p>
    <w:sectPr w:rsidR="00D96B50" w:rsidRPr="00085889" w:rsidSect="004973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03D24" w14:textId="77777777" w:rsidR="00664698" w:rsidRDefault="00664698">
      <w:pPr>
        <w:spacing w:line="240" w:lineRule="auto"/>
      </w:pPr>
      <w:r>
        <w:separator/>
      </w:r>
    </w:p>
  </w:endnote>
  <w:endnote w:type="continuationSeparator" w:id="0">
    <w:p w14:paraId="443EF9BC" w14:textId="77777777" w:rsidR="00664698" w:rsidRDefault="00664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4CE7C" w14:textId="77777777" w:rsidR="00664698" w:rsidRDefault="00664698">
      <w:pPr>
        <w:spacing w:line="240" w:lineRule="auto"/>
      </w:pPr>
      <w:r>
        <w:separator/>
      </w:r>
    </w:p>
  </w:footnote>
  <w:footnote w:type="continuationSeparator" w:id="0">
    <w:p w14:paraId="31B75668" w14:textId="77777777" w:rsidR="00664698" w:rsidRDefault="006646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C0DF2" w14:textId="77777777" w:rsidR="002E3CAB" w:rsidRPr="002E3CAB" w:rsidRDefault="00F00AC2" w:rsidP="002E3CAB">
    <w:pPr>
      <w:pStyle w:val="Header"/>
      <w:ind w:firstLine="0"/>
      <w:rPr>
        <w:rFonts w:ascii="Times New Roman" w:hAnsi="Times New Roman" w:cs="Times New Roman"/>
        <w:sz w:val="24"/>
        <w:szCs w:val="24"/>
      </w:rPr>
    </w:pPr>
    <w:r>
      <w:rPr>
        <w:rFonts w:ascii="Times New Roman" w:hAnsi="Times New Roman" w:cs="Times New Roman"/>
        <w:sz w:val="24"/>
        <w:szCs w:val="24"/>
      </w:rPr>
      <w:t>ANNOTATED BIBLIOGRAPHY</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6A1F54">
          <w:rPr>
            <w:rFonts w:ascii="Times New Roman" w:hAnsi="Times New Roman" w:cs="Times New Roman"/>
            <w:noProof/>
            <w:sz w:val="24"/>
            <w:szCs w:val="24"/>
          </w:rPr>
          <w:t>7</w:t>
        </w:r>
        <w:r w:rsidR="006F381F" w:rsidRPr="002E3CAB">
          <w:rPr>
            <w:rFonts w:ascii="Times New Roman" w:hAnsi="Times New Roman" w:cs="Times New Roman"/>
            <w:noProof/>
            <w:sz w:val="24"/>
            <w:szCs w:val="24"/>
          </w:rPr>
          <w:fldChar w:fldCharType="end"/>
        </w:r>
      </w:sdtContent>
    </w:sdt>
  </w:p>
  <w:p w14:paraId="32FFE7EA" w14:textId="77777777"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14:paraId="663C605E" w14:textId="77777777" w:rsidR="00497310" w:rsidRPr="00DB6CCB" w:rsidRDefault="00F00AC2" w:rsidP="00A35ADB">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A35ADB" w:rsidRPr="00A35ADB">
          <w:rPr>
            <w:rFonts w:ascii="Times New Roman" w:hAnsi="Times New Roman" w:cs="Times New Roman"/>
            <w:sz w:val="24"/>
            <w:szCs w:val="24"/>
          </w:rPr>
          <w:t xml:space="preserve"> </w:t>
        </w:r>
        <w:r w:rsidR="00A35ADB">
          <w:rPr>
            <w:rFonts w:ascii="Times New Roman" w:hAnsi="Times New Roman" w:cs="Times New Roman"/>
            <w:sz w:val="24"/>
            <w:szCs w:val="24"/>
          </w:rPr>
          <w:t xml:space="preserve">ANNOTATED BIBLIOGRAPHY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A35ADB">
          <w:rPr>
            <w:rFonts w:ascii="Times New Roman" w:hAnsi="Times New Roman" w:cs="Times New Roman"/>
            <w:sz w:val="24"/>
            <w:szCs w:val="24"/>
          </w:rPr>
          <w:tab/>
        </w:r>
        <w:r w:rsidR="00A35ADB">
          <w:rPr>
            <w:rFonts w:ascii="Times New Roman" w:hAnsi="Times New Roman" w:cs="Times New Roman"/>
            <w:sz w:val="24"/>
            <w:szCs w:val="24"/>
          </w:rPr>
          <w:tab/>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C459DB">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14:paraId="3549F3CE" w14:textId="77777777"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162BF"/>
    <w:multiLevelType w:val="hybridMultilevel"/>
    <w:tmpl w:val="2BACDDD6"/>
    <w:lvl w:ilvl="0" w:tplc="FA36952C">
      <w:start w:val="1"/>
      <w:numFmt w:val="bullet"/>
      <w:lvlText w:val=""/>
      <w:lvlJc w:val="left"/>
      <w:pPr>
        <w:ind w:left="720" w:hanging="360"/>
      </w:pPr>
      <w:rPr>
        <w:rFonts w:ascii="Wingdings" w:hAnsi="Wingdings" w:hint="default"/>
      </w:rPr>
    </w:lvl>
    <w:lvl w:ilvl="1" w:tplc="230CEF90" w:tentative="1">
      <w:start w:val="1"/>
      <w:numFmt w:val="bullet"/>
      <w:lvlText w:val="o"/>
      <w:lvlJc w:val="left"/>
      <w:pPr>
        <w:ind w:left="1440" w:hanging="360"/>
      </w:pPr>
      <w:rPr>
        <w:rFonts w:ascii="Courier New" w:hAnsi="Courier New" w:cs="Courier New" w:hint="default"/>
      </w:rPr>
    </w:lvl>
    <w:lvl w:ilvl="2" w:tplc="2792711E" w:tentative="1">
      <w:start w:val="1"/>
      <w:numFmt w:val="bullet"/>
      <w:lvlText w:val=""/>
      <w:lvlJc w:val="left"/>
      <w:pPr>
        <w:ind w:left="2160" w:hanging="360"/>
      </w:pPr>
      <w:rPr>
        <w:rFonts w:ascii="Wingdings" w:hAnsi="Wingdings" w:hint="default"/>
      </w:rPr>
    </w:lvl>
    <w:lvl w:ilvl="3" w:tplc="FFC489E4" w:tentative="1">
      <w:start w:val="1"/>
      <w:numFmt w:val="bullet"/>
      <w:lvlText w:val=""/>
      <w:lvlJc w:val="left"/>
      <w:pPr>
        <w:ind w:left="2880" w:hanging="360"/>
      </w:pPr>
      <w:rPr>
        <w:rFonts w:ascii="Symbol" w:hAnsi="Symbol" w:hint="default"/>
      </w:rPr>
    </w:lvl>
    <w:lvl w:ilvl="4" w:tplc="6D8CEB2C" w:tentative="1">
      <w:start w:val="1"/>
      <w:numFmt w:val="bullet"/>
      <w:lvlText w:val="o"/>
      <w:lvlJc w:val="left"/>
      <w:pPr>
        <w:ind w:left="3600" w:hanging="360"/>
      </w:pPr>
      <w:rPr>
        <w:rFonts w:ascii="Courier New" w:hAnsi="Courier New" w:cs="Courier New" w:hint="default"/>
      </w:rPr>
    </w:lvl>
    <w:lvl w:ilvl="5" w:tplc="8694865C" w:tentative="1">
      <w:start w:val="1"/>
      <w:numFmt w:val="bullet"/>
      <w:lvlText w:val=""/>
      <w:lvlJc w:val="left"/>
      <w:pPr>
        <w:ind w:left="4320" w:hanging="360"/>
      </w:pPr>
      <w:rPr>
        <w:rFonts w:ascii="Wingdings" w:hAnsi="Wingdings" w:hint="default"/>
      </w:rPr>
    </w:lvl>
    <w:lvl w:ilvl="6" w:tplc="F7A4EE7E" w:tentative="1">
      <w:start w:val="1"/>
      <w:numFmt w:val="bullet"/>
      <w:lvlText w:val=""/>
      <w:lvlJc w:val="left"/>
      <w:pPr>
        <w:ind w:left="5040" w:hanging="360"/>
      </w:pPr>
      <w:rPr>
        <w:rFonts w:ascii="Symbol" w:hAnsi="Symbol" w:hint="default"/>
      </w:rPr>
    </w:lvl>
    <w:lvl w:ilvl="7" w:tplc="E17CEFD6" w:tentative="1">
      <w:start w:val="1"/>
      <w:numFmt w:val="bullet"/>
      <w:lvlText w:val="o"/>
      <w:lvlJc w:val="left"/>
      <w:pPr>
        <w:ind w:left="5760" w:hanging="360"/>
      </w:pPr>
      <w:rPr>
        <w:rFonts w:ascii="Courier New" w:hAnsi="Courier New" w:cs="Courier New" w:hint="default"/>
      </w:rPr>
    </w:lvl>
    <w:lvl w:ilvl="8" w:tplc="9BA0BD14"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tplc="37505BD0">
      <w:start w:val="1"/>
      <w:numFmt w:val="bullet"/>
      <w:lvlText w:val=""/>
      <w:lvlJc w:val="left"/>
      <w:pPr>
        <w:ind w:left="720" w:hanging="360"/>
      </w:pPr>
      <w:rPr>
        <w:rFonts w:ascii="Wingdings" w:hAnsi="Wingdings" w:hint="default"/>
      </w:rPr>
    </w:lvl>
    <w:lvl w:ilvl="1" w:tplc="AA4CC168" w:tentative="1">
      <w:start w:val="1"/>
      <w:numFmt w:val="bullet"/>
      <w:lvlText w:val="o"/>
      <w:lvlJc w:val="left"/>
      <w:pPr>
        <w:ind w:left="1440" w:hanging="360"/>
      </w:pPr>
      <w:rPr>
        <w:rFonts w:ascii="Courier New" w:hAnsi="Courier New" w:cs="Courier New" w:hint="default"/>
      </w:rPr>
    </w:lvl>
    <w:lvl w:ilvl="2" w:tplc="4B4881DE" w:tentative="1">
      <w:start w:val="1"/>
      <w:numFmt w:val="bullet"/>
      <w:lvlText w:val=""/>
      <w:lvlJc w:val="left"/>
      <w:pPr>
        <w:ind w:left="2160" w:hanging="360"/>
      </w:pPr>
      <w:rPr>
        <w:rFonts w:ascii="Wingdings" w:hAnsi="Wingdings" w:hint="default"/>
      </w:rPr>
    </w:lvl>
    <w:lvl w:ilvl="3" w:tplc="841E0B18" w:tentative="1">
      <w:start w:val="1"/>
      <w:numFmt w:val="bullet"/>
      <w:lvlText w:val=""/>
      <w:lvlJc w:val="left"/>
      <w:pPr>
        <w:ind w:left="2880" w:hanging="360"/>
      </w:pPr>
      <w:rPr>
        <w:rFonts w:ascii="Symbol" w:hAnsi="Symbol" w:hint="default"/>
      </w:rPr>
    </w:lvl>
    <w:lvl w:ilvl="4" w:tplc="FC223856" w:tentative="1">
      <w:start w:val="1"/>
      <w:numFmt w:val="bullet"/>
      <w:lvlText w:val="o"/>
      <w:lvlJc w:val="left"/>
      <w:pPr>
        <w:ind w:left="3600" w:hanging="360"/>
      </w:pPr>
      <w:rPr>
        <w:rFonts w:ascii="Courier New" w:hAnsi="Courier New" w:cs="Courier New" w:hint="default"/>
      </w:rPr>
    </w:lvl>
    <w:lvl w:ilvl="5" w:tplc="A52C1830" w:tentative="1">
      <w:start w:val="1"/>
      <w:numFmt w:val="bullet"/>
      <w:lvlText w:val=""/>
      <w:lvlJc w:val="left"/>
      <w:pPr>
        <w:ind w:left="4320" w:hanging="360"/>
      </w:pPr>
      <w:rPr>
        <w:rFonts w:ascii="Wingdings" w:hAnsi="Wingdings" w:hint="default"/>
      </w:rPr>
    </w:lvl>
    <w:lvl w:ilvl="6" w:tplc="612A20F0" w:tentative="1">
      <w:start w:val="1"/>
      <w:numFmt w:val="bullet"/>
      <w:lvlText w:val=""/>
      <w:lvlJc w:val="left"/>
      <w:pPr>
        <w:ind w:left="5040" w:hanging="360"/>
      </w:pPr>
      <w:rPr>
        <w:rFonts w:ascii="Symbol" w:hAnsi="Symbol" w:hint="default"/>
      </w:rPr>
    </w:lvl>
    <w:lvl w:ilvl="7" w:tplc="E31E9678" w:tentative="1">
      <w:start w:val="1"/>
      <w:numFmt w:val="bullet"/>
      <w:lvlText w:val="o"/>
      <w:lvlJc w:val="left"/>
      <w:pPr>
        <w:ind w:left="5760" w:hanging="360"/>
      </w:pPr>
      <w:rPr>
        <w:rFonts w:ascii="Courier New" w:hAnsi="Courier New" w:cs="Courier New" w:hint="default"/>
      </w:rPr>
    </w:lvl>
    <w:lvl w:ilvl="8" w:tplc="EC0E592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tplc="801C45E8">
      <w:start w:val="1"/>
      <w:numFmt w:val="bullet"/>
      <w:lvlText w:val=""/>
      <w:lvlJc w:val="left"/>
      <w:pPr>
        <w:ind w:left="720" w:hanging="360"/>
      </w:pPr>
      <w:rPr>
        <w:rFonts w:ascii="Wingdings" w:hAnsi="Wingdings" w:hint="default"/>
      </w:rPr>
    </w:lvl>
    <w:lvl w:ilvl="1" w:tplc="4A0AF980" w:tentative="1">
      <w:start w:val="1"/>
      <w:numFmt w:val="bullet"/>
      <w:lvlText w:val="o"/>
      <w:lvlJc w:val="left"/>
      <w:pPr>
        <w:ind w:left="1440" w:hanging="360"/>
      </w:pPr>
      <w:rPr>
        <w:rFonts w:ascii="Courier New" w:hAnsi="Courier New" w:cs="Courier New" w:hint="default"/>
      </w:rPr>
    </w:lvl>
    <w:lvl w:ilvl="2" w:tplc="34364C1E" w:tentative="1">
      <w:start w:val="1"/>
      <w:numFmt w:val="bullet"/>
      <w:lvlText w:val=""/>
      <w:lvlJc w:val="left"/>
      <w:pPr>
        <w:ind w:left="2160" w:hanging="360"/>
      </w:pPr>
      <w:rPr>
        <w:rFonts w:ascii="Wingdings" w:hAnsi="Wingdings" w:hint="default"/>
      </w:rPr>
    </w:lvl>
    <w:lvl w:ilvl="3" w:tplc="9800D7C4" w:tentative="1">
      <w:start w:val="1"/>
      <w:numFmt w:val="bullet"/>
      <w:lvlText w:val=""/>
      <w:lvlJc w:val="left"/>
      <w:pPr>
        <w:ind w:left="2880" w:hanging="360"/>
      </w:pPr>
      <w:rPr>
        <w:rFonts w:ascii="Symbol" w:hAnsi="Symbol" w:hint="default"/>
      </w:rPr>
    </w:lvl>
    <w:lvl w:ilvl="4" w:tplc="2490EAC0" w:tentative="1">
      <w:start w:val="1"/>
      <w:numFmt w:val="bullet"/>
      <w:lvlText w:val="o"/>
      <w:lvlJc w:val="left"/>
      <w:pPr>
        <w:ind w:left="3600" w:hanging="360"/>
      </w:pPr>
      <w:rPr>
        <w:rFonts w:ascii="Courier New" w:hAnsi="Courier New" w:cs="Courier New" w:hint="default"/>
      </w:rPr>
    </w:lvl>
    <w:lvl w:ilvl="5" w:tplc="7E44967A" w:tentative="1">
      <w:start w:val="1"/>
      <w:numFmt w:val="bullet"/>
      <w:lvlText w:val=""/>
      <w:lvlJc w:val="left"/>
      <w:pPr>
        <w:ind w:left="4320" w:hanging="360"/>
      </w:pPr>
      <w:rPr>
        <w:rFonts w:ascii="Wingdings" w:hAnsi="Wingdings" w:hint="default"/>
      </w:rPr>
    </w:lvl>
    <w:lvl w:ilvl="6" w:tplc="304C60A4" w:tentative="1">
      <w:start w:val="1"/>
      <w:numFmt w:val="bullet"/>
      <w:lvlText w:val=""/>
      <w:lvlJc w:val="left"/>
      <w:pPr>
        <w:ind w:left="5040" w:hanging="360"/>
      </w:pPr>
      <w:rPr>
        <w:rFonts w:ascii="Symbol" w:hAnsi="Symbol" w:hint="default"/>
      </w:rPr>
    </w:lvl>
    <w:lvl w:ilvl="7" w:tplc="03B22E8C" w:tentative="1">
      <w:start w:val="1"/>
      <w:numFmt w:val="bullet"/>
      <w:lvlText w:val="o"/>
      <w:lvlJc w:val="left"/>
      <w:pPr>
        <w:ind w:left="5760" w:hanging="360"/>
      </w:pPr>
      <w:rPr>
        <w:rFonts w:ascii="Courier New" w:hAnsi="Courier New" w:cs="Courier New" w:hint="default"/>
      </w:rPr>
    </w:lvl>
    <w:lvl w:ilvl="8" w:tplc="044E644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tplc="E4F65F12">
      <w:start w:val="1"/>
      <w:numFmt w:val="bullet"/>
      <w:lvlText w:val=""/>
      <w:lvlJc w:val="left"/>
      <w:pPr>
        <w:ind w:left="720" w:hanging="360"/>
      </w:pPr>
      <w:rPr>
        <w:rFonts w:ascii="Symbol" w:hAnsi="Symbol" w:hint="default"/>
      </w:rPr>
    </w:lvl>
    <w:lvl w:ilvl="1" w:tplc="C4BE2410" w:tentative="1">
      <w:start w:val="1"/>
      <w:numFmt w:val="bullet"/>
      <w:lvlText w:val="o"/>
      <w:lvlJc w:val="left"/>
      <w:pPr>
        <w:ind w:left="1440" w:hanging="360"/>
      </w:pPr>
      <w:rPr>
        <w:rFonts w:ascii="Courier New" w:hAnsi="Courier New" w:cs="Courier New" w:hint="default"/>
      </w:rPr>
    </w:lvl>
    <w:lvl w:ilvl="2" w:tplc="BD5E656A" w:tentative="1">
      <w:start w:val="1"/>
      <w:numFmt w:val="bullet"/>
      <w:lvlText w:val=""/>
      <w:lvlJc w:val="left"/>
      <w:pPr>
        <w:ind w:left="2160" w:hanging="360"/>
      </w:pPr>
      <w:rPr>
        <w:rFonts w:ascii="Wingdings" w:hAnsi="Wingdings" w:hint="default"/>
      </w:rPr>
    </w:lvl>
    <w:lvl w:ilvl="3" w:tplc="FD706AC0" w:tentative="1">
      <w:start w:val="1"/>
      <w:numFmt w:val="bullet"/>
      <w:lvlText w:val=""/>
      <w:lvlJc w:val="left"/>
      <w:pPr>
        <w:ind w:left="2880" w:hanging="360"/>
      </w:pPr>
      <w:rPr>
        <w:rFonts w:ascii="Symbol" w:hAnsi="Symbol" w:hint="default"/>
      </w:rPr>
    </w:lvl>
    <w:lvl w:ilvl="4" w:tplc="C3F401A0" w:tentative="1">
      <w:start w:val="1"/>
      <w:numFmt w:val="bullet"/>
      <w:lvlText w:val="o"/>
      <w:lvlJc w:val="left"/>
      <w:pPr>
        <w:ind w:left="3600" w:hanging="360"/>
      </w:pPr>
      <w:rPr>
        <w:rFonts w:ascii="Courier New" w:hAnsi="Courier New" w:cs="Courier New" w:hint="default"/>
      </w:rPr>
    </w:lvl>
    <w:lvl w:ilvl="5" w:tplc="8DFC9BCA" w:tentative="1">
      <w:start w:val="1"/>
      <w:numFmt w:val="bullet"/>
      <w:lvlText w:val=""/>
      <w:lvlJc w:val="left"/>
      <w:pPr>
        <w:ind w:left="4320" w:hanging="360"/>
      </w:pPr>
      <w:rPr>
        <w:rFonts w:ascii="Wingdings" w:hAnsi="Wingdings" w:hint="default"/>
      </w:rPr>
    </w:lvl>
    <w:lvl w:ilvl="6" w:tplc="4364CC00" w:tentative="1">
      <w:start w:val="1"/>
      <w:numFmt w:val="bullet"/>
      <w:lvlText w:val=""/>
      <w:lvlJc w:val="left"/>
      <w:pPr>
        <w:ind w:left="5040" w:hanging="360"/>
      </w:pPr>
      <w:rPr>
        <w:rFonts w:ascii="Symbol" w:hAnsi="Symbol" w:hint="default"/>
      </w:rPr>
    </w:lvl>
    <w:lvl w:ilvl="7" w:tplc="9DCC2D92" w:tentative="1">
      <w:start w:val="1"/>
      <w:numFmt w:val="bullet"/>
      <w:lvlText w:val="o"/>
      <w:lvlJc w:val="left"/>
      <w:pPr>
        <w:ind w:left="5760" w:hanging="360"/>
      </w:pPr>
      <w:rPr>
        <w:rFonts w:ascii="Courier New" w:hAnsi="Courier New" w:cs="Courier New" w:hint="default"/>
      </w:rPr>
    </w:lvl>
    <w:lvl w:ilvl="8" w:tplc="95D81926"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tplc="7D00E63C">
      <w:start w:val="1"/>
      <w:numFmt w:val="bullet"/>
      <w:lvlText w:val=""/>
      <w:lvlJc w:val="left"/>
      <w:pPr>
        <w:ind w:left="720" w:hanging="360"/>
      </w:pPr>
      <w:rPr>
        <w:rFonts w:ascii="Wingdings" w:hAnsi="Wingdings" w:hint="default"/>
      </w:rPr>
    </w:lvl>
    <w:lvl w:ilvl="1" w:tplc="4244B06A" w:tentative="1">
      <w:start w:val="1"/>
      <w:numFmt w:val="bullet"/>
      <w:lvlText w:val="o"/>
      <w:lvlJc w:val="left"/>
      <w:pPr>
        <w:ind w:left="1440" w:hanging="360"/>
      </w:pPr>
      <w:rPr>
        <w:rFonts w:ascii="Courier New" w:hAnsi="Courier New" w:cs="Courier New" w:hint="default"/>
      </w:rPr>
    </w:lvl>
    <w:lvl w:ilvl="2" w:tplc="5E6A7B3C" w:tentative="1">
      <w:start w:val="1"/>
      <w:numFmt w:val="bullet"/>
      <w:lvlText w:val=""/>
      <w:lvlJc w:val="left"/>
      <w:pPr>
        <w:ind w:left="2160" w:hanging="360"/>
      </w:pPr>
      <w:rPr>
        <w:rFonts w:ascii="Wingdings" w:hAnsi="Wingdings" w:hint="default"/>
      </w:rPr>
    </w:lvl>
    <w:lvl w:ilvl="3" w:tplc="4422251E" w:tentative="1">
      <w:start w:val="1"/>
      <w:numFmt w:val="bullet"/>
      <w:lvlText w:val=""/>
      <w:lvlJc w:val="left"/>
      <w:pPr>
        <w:ind w:left="2880" w:hanging="360"/>
      </w:pPr>
      <w:rPr>
        <w:rFonts w:ascii="Symbol" w:hAnsi="Symbol" w:hint="default"/>
      </w:rPr>
    </w:lvl>
    <w:lvl w:ilvl="4" w:tplc="4A1468AE" w:tentative="1">
      <w:start w:val="1"/>
      <w:numFmt w:val="bullet"/>
      <w:lvlText w:val="o"/>
      <w:lvlJc w:val="left"/>
      <w:pPr>
        <w:ind w:left="3600" w:hanging="360"/>
      </w:pPr>
      <w:rPr>
        <w:rFonts w:ascii="Courier New" w:hAnsi="Courier New" w:cs="Courier New" w:hint="default"/>
      </w:rPr>
    </w:lvl>
    <w:lvl w:ilvl="5" w:tplc="72267A32" w:tentative="1">
      <w:start w:val="1"/>
      <w:numFmt w:val="bullet"/>
      <w:lvlText w:val=""/>
      <w:lvlJc w:val="left"/>
      <w:pPr>
        <w:ind w:left="4320" w:hanging="360"/>
      </w:pPr>
      <w:rPr>
        <w:rFonts w:ascii="Wingdings" w:hAnsi="Wingdings" w:hint="default"/>
      </w:rPr>
    </w:lvl>
    <w:lvl w:ilvl="6" w:tplc="48F8E0C0" w:tentative="1">
      <w:start w:val="1"/>
      <w:numFmt w:val="bullet"/>
      <w:lvlText w:val=""/>
      <w:lvlJc w:val="left"/>
      <w:pPr>
        <w:ind w:left="5040" w:hanging="360"/>
      </w:pPr>
      <w:rPr>
        <w:rFonts w:ascii="Symbol" w:hAnsi="Symbol" w:hint="default"/>
      </w:rPr>
    </w:lvl>
    <w:lvl w:ilvl="7" w:tplc="DE1689FE" w:tentative="1">
      <w:start w:val="1"/>
      <w:numFmt w:val="bullet"/>
      <w:lvlText w:val="o"/>
      <w:lvlJc w:val="left"/>
      <w:pPr>
        <w:ind w:left="5760" w:hanging="360"/>
      </w:pPr>
      <w:rPr>
        <w:rFonts w:ascii="Courier New" w:hAnsi="Courier New" w:cs="Courier New" w:hint="default"/>
      </w:rPr>
    </w:lvl>
    <w:lvl w:ilvl="8" w:tplc="7A1E611C"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tplc="1FB4C29C">
      <w:start w:val="1"/>
      <w:numFmt w:val="bullet"/>
      <w:lvlText w:val=""/>
      <w:lvlJc w:val="left"/>
      <w:pPr>
        <w:ind w:left="720" w:hanging="360"/>
      </w:pPr>
      <w:rPr>
        <w:rFonts w:ascii="Wingdings" w:hAnsi="Wingdings" w:hint="default"/>
      </w:rPr>
    </w:lvl>
    <w:lvl w:ilvl="1" w:tplc="58066BF6" w:tentative="1">
      <w:start w:val="1"/>
      <w:numFmt w:val="bullet"/>
      <w:lvlText w:val="o"/>
      <w:lvlJc w:val="left"/>
      <w:pPr>
        <w:ind w:left="1440" w:hanging="360"/>
      </w:pPr>
      <w:rPr>
        <w:rFonts w:ascii="Courier New" w:hAnsi="Courier New" w:cs="Courier New" w:hint="default"/>
      </w:rPr>
    </w:lvl>
    <w:lvl w:ilvl="2" w:tplc="1414C6F2" w:tentative="1">
      <w:start w:val="1"/>
      <w:numFmt w:val="bullet"/>
      <w:lvlText w:val=""/>
      <w:lvlJc w:val="left"/>
      <w:pPr>
        <w:ind w:left="2160" w:hanging="360"/>
      </w:pPr>
      <w:rPr>
        <w:rFonts w:ascii="Wingdings" w:hAnsi="Wingdings" w:hint="default"/>
      </w:rPr>
    </w:lvl>
    <w:lvl w:ilvl="3" w:tplc="C8BC5B38" w:tentative="1">
      <w:start w:val="1"/>
      <w:numFmt w:val="bullet"/>
      <w:lvlText w:val=""/>
      <w:lvlJc w:val="left"/>
      <w:pPr>
        <w:ind w:left="2880" w:hanging="360"/>
      </w:pPr>
      <w:rPr>
        <w:rFonts w:ascii="Symbol" w:hAnsi="Symbol" w:hint="default"/>
      </w:rPr>
    </w:lvl>
    <w:lvl w:ilvl="4" w:tplc="10D633E2" w:tentative="1">
      <w:start w:val="1"/>
      <w:numFmt w:val="bullet"/>
      <w:lvlText w:val="o"/>
      <w:lvlJc w:val="left"/>
      <w:pPr>
        <w:ind w:left="3600" w:hanging="360"/>
      </w:pPr>
      <w:rPr>
        <w:rFonts w:ascii="Courier New" w:hAnsi="Courier New" w:cs="Courier New" w:hint="default"/>
      </w:rPr>
    </w:lvl>
    <w:lvl w:ilvl="5" w:tplc="B11270FE" w:tentative="1">
      <w:start w:val="1"/>
      <w:numFmt w:val="bullet"/>
      <w:lvlText w:val=""/>
      <w:lvlJc w:val="left"/>
      <w:pPr>
        <w:ind w:left="4320" w:hanging="360"/>
      </w:pPr>
      <w:rPr>
        <w:rFonts w:ascii="Wingdings" w:hAnsi="Wingdings" w:hint="default"/>
      </w:rPr>
    </w:lvl>
    <w:lvl w:ilvl="6" w:tplc="4A224AB4" w:tentative="1">
      <w:start w:val="1"/>
      <w:numFmt w:val="bullet"/>
      <w:lvlText w:val=""/>
      <w:lvlJc w:val="left"/>
      <w:pPr>
        <w:ind w:left="5040" w:hanging="360"/>
      </w:pPr>
      <w:rPr>
        <w:rFonts w:ascii="Symbol" w:hAnsi="Symbol" w:hint="default"/>
      </w:rPr>
    </w:lvl>
    <w:lvl w:ilvl="7" w:tplc="7180B37C" w:tentative="1">
      <w:start w:val="1"/>
      <w:numFmt w:val="bullet"/>
      <w:lvlText w:val="o"/>
      <w:lvlJc w:val="left"/>
      <w:pPr>
        <w:ind w:left="5760" w:hanging="360"/>
      </w:pPr>
      <w:rPr>
        <w:rFonts w:ascii="Courier New" w:hAnsi="Courier New" w:cs="Courier New" w:hint="default"/>
      </w:rPr>
    </w:lvl>
    <w:lvl w:ilvl="8" w:tplc="0BA2A266"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D"/>
    <w:rsid w:val="000214FF"/>
    <w:rsid w:val="000474DD"/>
    <w:rsid w:val="00063332"/>
    <w:rsid w:val="00064679"/>
    <w:rsid w:val="00065048"/>
    <w:rsid w:val="00085889"/>
    <w:rsid w:val="0009111B"/>
    <w:rsid w:val="000D3ED2"/>
    <w:rsid w:val="000D4209"/>
    <w:rsid w:val="000F0CCD"/>
    <w:rsid w:val="00130791"/>
    <w:rsid w:val="001555E7"/>
    <w:rsid w:val="00160500"/>
    <w:rsid w:val="001909B3"/>
    <w:rsid w:val="001979EB"/>
    <w:rsid w:val="001C284B"/>
    <w:rsid w:val="00201245"/>
    <w:rsid w:val="00205215"/>
    <w:rsid w:val="002109E2"/>
    <w:rsid w:val="00252DDA"/>
    <w:rsid w:val="00261F49"/>
    <w:rsid w:val="002676E6"/>
    <w:rsid w:val="002E3CAB"/>
    <w:rsid w:val="00302D5D"/>
    <w:rsid w:val="00342E4B"/>
    <w:rsid w:val="003520B7"/>
    <w:rsid w:val="00357BBB"/>
    <w:rsid w:val="0036152F"/>
    <w:rsid w:val="00365902"/>
    <w:rsid w:val="00386C98"/>
    <w:rsid w:val="00390ACF"/>
    <w:rsid w:val="003C2F3E"/>
    <w:rsid w:val="003E2325"/>
    <w:rsid w:val="00402326"/>
    <w:rsid w:val="00454D63"/>
    <w:rsid w:val="004553C1"/>
    <w:rsid w:val="00457F91"/>
    <w:rsid w:val="00497310"/>
    <w:rsid w:val="004A2626"/>
    <w:rsid w:val="004C6077"/>
    <w:rsid w:val="004D2BB0"/>
    <w:rsid w:val="00505AED"/>
    <w:rsid w:val="005217AE"/>
    <w:rsid w:val="00550DB3"/>
    <w:rsid w:val="0055465B"/>
    <w:rsid w:val="00574048"/>
    <w:rsid w:val="0059437B"/>
    <w:rsid w:val="005D49B7"/>
    <w:rsid w:val="005E5F8F"/>
    <w:rsid w:val="005F7CB6"/>
    <w:rsid w:val="0060499F"/>
    <w:rsid w:val="00627017"/>
    <w:rsid w:val="006367C8"/>
    <w:rsid w:val="006442EB"/>
    <w:rsid w:val="00664698"/>
    <w:rsid w:val="00665A61"/>
    <w:rsid w:val="00667C37"/>
    <w:rsid w:val="00682E4A"/>
    <w:rsid w:val="006A1F54"/>
    <w:rsid w:val="006A3EB3"/>
    <w:rsid w:val="006A6E5C"/>
    <w:rsid w:val="006B72C7"/>
    <w:rsid w:val="006D0945"/>
    <w:rsid w:val="006F381F"/>
    <w:rsid w:val="007271BE"/>
    <w:rsid w:val="007638B6"/>
    <w:rsid w:val="00772A0E"/>
    <w:rsid w:val="0078133F"/>
    <w:rsid w:val="007906C9"/>
    <w:rsid w:val="00794587"/>
    <w:rsid w:val="007A5856"/>
    <w:rsid w:val="007C7048"/>
    <w:rsid w:val="007D40B5"/>
    <w:rsid w:val="007E1285"/>
    <w:rsid w:val="00820E2A"/>
    <w:rsid w:val="00827D56"/>
    <w:rsid w:val="008465E9"/>
    <w:rsid w:val="00847310"/>
    <w:rsid w:val="008555BF"/>
    <w:rsid w:val="008611B5"/>
    <w:rsid w:val="0086676B"/>
    <w:rsid w:val="008B5E71"/>
    <w:rsid w:val="008D32BE"/>
    <w:rsid w:val="008D3DC3"/>
    <w:rsid w:val="008E6531"/>
    <w:rsid w:val="00906CFE"/>
    <w:rsid w:val="009075AF"/>
    <w:rsid w:val="00941B5F"/>
    <w:rsid w:val="009C1206"/>
    <w:rsid w:val="009D58C8"/>
    <w:rsid w:val="009E4DA1"/>
    <w:rsid w:val="009E69BC"/>
    <w:rsid w:val="00A074F7"/>
    <w:rsid w:val="00A26D2F"/>
    <w:rsid w:val="00A35ADB"/>
    <w:rsid w:val="00A44030"/>
    <w:rsid w:val="00A46B93"/>
    <w:rsid w:val="00A52356"/>
    <w:rsid w:val="00A56DCF"/>
    <w:rsid w:val="00A571D2"/>
    <w:rsid w:val="00A61D30"/>
    <w:rsid w:val="00A71B85"/>
    <w:rsid w:val="00A75246"/>
    <w:rsid w:val="00A97610"/>
    <w:rsid w:val="00AA242F"/>
    <w:rsid w:val="00AC662F"/>
    <w:rsid w:val="00AD2B11"/>
    <w:rsid w:val="00AD350D"/>
    <w:rsid w:val="00AE2045"/>
    <w:rsid w:val="00B170B5"/>
    <w:rsid w:val="00B2343E"/>
    <w:rsid w:val="00B32F1B"/>
    <w:rsid w:val="00B3521D"/>
    <w:rsid w:val="00B404AE"/>
    <w:rsid w:val="00B4530A"/>
    <w:rsid w:val="00B50B54"/>
    <w:rsid w:val="00B55055"/>
    <w:rsid w:val="00B66260"/>
    <w:rsid w:val="00B773CC"/>
    <w:rsid w:val="00B921FA"/>
    <w:rsid w:val="00B948A7"/>
    <w:rsid w:val="00BA53F5"/>
    <w:rsid w:val="00BB372A"/>
    <w:rsid w:val="00BB5928"/>
    <w:rsid w:val="00BC79B6"/>
    <w:rsid w:val="00BD61FD"/>
    <w:rsid w:val="00C136BF"/>
    <w:rsid w:val="00C1657B"/>
    <w:rsid w:val="00C20CB9"/>
    <w:rsid w:val="00C40447"/>
    <w:rsid w:val="00C459DB"/>
    <w:rsid w:val="00C75C24"/>
    <w:rsid w:val="00CA6D90"/>
    <w:rsid w:val="00CB6083"/>
    <w:rsid w:val="00CD244C"/>
    <w:rsid w:val="00CD49EA"/>
    <w:rsid w:val="00CD5109"/>
    <w:rsid w:val="00CD7E40"/>
    <w:rsid w:val="00D46680"/>
    <w:rsid w:val="00D46C6B"/>
    <w:rsid w:val="00D8429A"/>
    <w:rsid w:val="00D96B50"/>
    <w:rsid w:val="00DB2480"/>
    <w:rsid w:val="00DB6CCB"/>
    <w:rsid w:val="00DC6C0E"/>
    <w:rsid w:val="00DD3ED2"/>
    <w:rsid w:val="00DD5E94"/>
    <w:rsid w:val="00DE5B17"/>
    <w:rsid w:val="00E2062D"/>
    <w:rsid w:val="00E30A42"/>
    <w:rsid w:val="00E7725E"/>
    <w:rsid w:val="00E8150A"/>
    <w:rsid w:val="00ED02CB"/>
    <w:rsid w:val="00EF7535"/>
    <w:rsid w:val="00F00AC2"/>
    <w:rsid w:val="00F0340A"/>
    <w:rsid w:val="00F050B6"/>
    <w:rsid w:val="00F05D97"/>
    <w:rsid w:val="00F16BF5"/>
    <w:rsid w:val="00F45884"/>
    <w:rsid w:val="00F71B99"/>
    <w:rsid w:val="00F82E48"/>
    <w:rsid w:val="00F857F4"/>
    <w:rsid w:val="00FE75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AE97F"/>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neliti.com/media/publications/192183-EN-the-use-of-think-pair-share-technique-to.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294088485_Epistemic_Metacognition_Ways_of_Thinking_About_Knowledge_and_Know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mages.pearsonassessments.com/images/tmrs/CriticalThinkingReview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7</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66</cp:revision>
  <dcterms:created xsi:type="dcterms:W3CDTF">2020-05-07T04:32:00Z</dcterms:created>
  <dcterms:modified xsi:type="dcterms:W3CDTF">2020-05-08T20:07:00Z</dcterms:modified>
</cp:coreProperties>
</file>